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B24A" w14:textId="0AC3A2F9" w:rsidR="00750DC0" w:rsidRPr="005F6541" w:rsidRDefault="00750DC0" w:rsidP="00750DC0">
      <w:pPr>
        <w:jc w:val="both"/>
        <w:rPr>
          <w:rFonts w:ascii="Times New Roman" w:hAnsi="Times New Roman" w:cs="Times New Roman"/>
          <w:sz w:val="24"/>
          <w:szCs w:val="24"/>
        </w:rPr>
      </w:pPr>
      <w:r w:rsidRPr="005F6541">
        <w:rPr>
          <w:rFonts w:ascii="Times New Roman" w:hAnsi="Times New Roman" w:cs="Times New Roman"/>
          <w:sz w:val="24"/>
          <w:szCs w:val="24"/>
        </w:rPr>
        <w:t>Na temelju članka 86.</w:t>
      </w:r>
      <w:r w:rsidR="00715EF6">
        <w:rPr>
          <w:rFonts w:ascii="Times New Roman" w:hAnsi="Times New Roman" w:cs="Times New Roman"/>
          <w:sz w:val="24"/>
          <w:szCs w:val="24"/>
        </w:rPr>
        <w:t xml:space="preserve"> </w:t>
      </w:r>
      <w:r w:rsidRPr="005F6541">
        <w:rPr>
          <w:rFonts w:ascii="Times New Roman" w:hAnsi="Times New Roman" w:cs="Times New Roman"/>
          <w:sz w:val="24"/>
          <w:szCs w:val="24"/>
        </w:rPr>
        <w:t>Zakon o proračunu (Narodne novine br. 144/21)</w:t>
      </w:r>
      <w:r w:rsidR="00FC1F29">
        <w:rPr>
          <w:rFonts w:ascii="Times New Roman" w:hAnsi="Times New Roman" w:cs="Times New Roman"/>
          <w:sz w:val="24"/>
          <w:szCs w:val="24"/>
        </w:rPr>
        <w:t>,</w:t>
      </w:r>
      <w:r w:rsidR="00691CD1" w:rsidRPr="00691CD1">
        <w:t xml:space="preserve"> </w:t>
      </w:r>
      <w:r w:rsidR="00691CD1" w:rsidRPr="00691CD1">
        <w:rPr>
          <w:rFonts w:ascii="Times New Roman" w:hAnsi="Times New Roman" w:cs="Times New Roman"/>
          <w:sz w:val="24"/>
          <w:szCs w:val="24"/>
        </w:rPr>
        <w:t>članka 5</w:t>
      </w:r>
      <w:r w:rsidR="00FC1F29">
        <w:rPr>
          <w:rFonts w:ascii="Times New Roman" w:hAnsi="Times New Roman" w:cs="Times New Roman"/>
          <w:sz w:val="24"/>
          <w:szCs w:val="24"/>
        </w:rPr>
        <w:t>2</w:t>
      </w:r>
      <w:r w:rsidR="00691CD1" w:rsidRPr="00691CD1">
        <w:rPr>
          <w:rFonts w:ascii="Times New Roman" w:hAnsi="Times New Roman" w:cs="Times New Roman"/>
          <w:sz w:val="24"/>
          <w:szCs w:val="24"/>
        </w:rPr>
        <w:t>. Pravilnika o polugodišnjem i godišnjem izvještaju o izvršenju proračuna i financijskog plana (Narodne novine broj 85/23)</w:t>
      </w:r>
      <w:r w:rsidRPr="005F6541">
        <w:rPr>
          <w:rFonts w:ascii="Times New Roman" w:hAnsi="Times New Roman" w:cs="Times New Roman"/>
          <w:sz w:val="24"/>
          <w:szCs w:val="24"/>
        </w:rPr>
        <w:t xml:space="preserve"> i članka 16. Statuta Javne vatrogasne postrojbe (Broj: UV-11/4-2020. od 14. prosinca 2020.) Vatrogasno vijeće Javne vatrogasne postrojbe Pula, na sjednici održanoj</w:t>
      </w:r>
      <w:r w:rsidR="008E1198">
        <w:rPr>
          <w:rFonts w:ascii="Times New Roman" w:hAnsi="Times New Roman" w:cs="Times New Roman"/>
          <w:sz w:val="24"/>
          <w:szCs w:val="24"/>
        </w:rPr>
        <w:t xml:space="preserve"> </w:t>
      </w:r>
      <w:r w:rsidR="00E21894" w:rsidRPr="00A77CBC">
        <w:rPr>
          <w:rFonts w:ascii="Times New Roman" w:hAnsi="Times New Roman" w:cs="Times New Roman"/>
          <w:sz w:val="24"/>
          <w:szCs w:val="24"/>
        </w:rPr>
        <w:t>2</w:t>
      </w:r>
      <w:r w:rsidR="00A77CBC" w:rsidRPr="00A77CBC">
        <w:rPr>
          <w:rFonts w:ascii="Times New Roman" w:hAnsi="Times New Roman" w:cs="Times New Roman"/>
          <w:sz w:val="24"/>
          <w:szCs w:val="24"/>
        </w:rPr>
        <w:t>5</w:t>
      </w:r>
      <w:r w:rsidR="000F1898" w:rsidRPr="00A77CBC">
        <w:rPr>
          <w:rFonts w:ascii="Times New Roman" w:hAnsi="Times New Roman" w:cs="Times New Roman"/>
          <w:sz w:val="24"/>
          <w:szCs w:val="24"/>
        </w:rPr>
        <w:t>.</w:t>
      </w:r>
      <w:r w:rsidR="006D481D">
        <w:rPr>
          <w:rFonts w:ascii="Times New Roman" w:hAnsi="Times New Roman" w:cs="Times New Roman"/>
          <w:sz w:val="24"/>
          <w:szCs w:val="24"/>
        </w:rPr>
        <w:t xml:space="preserve"> srpnja</w:t>
      </w:r>
      <w:r w:rsidRPr="005F6541">
        <w:rPr>
          <w:rFonts w:ascii="Times New Roman" w:hAnsi="Times New Roman" w:cs="Times New Roman"/>
          <w:sz w:val="24"/>
          <w:szCs w:val="24"/>
        </w:rPr>
        <w:t xml:space="preserve"> 202</w:t>
      </w:r>
      <w:r w:rsidR="004B089F">
        <w:rPr>
          <w:rFonts w:ascii="Times New Roman" w:hAnsi="Times New Roman" w:cs="Times New Roman"/>
          <w:sz w:val="24"/>
          <w:szCs w:val="24"/>
        </w:rPr>
        <w:t>5</w:t>
      </w:r>
      <w:r w:rsidRPr="005F6541">
        <w:rPr>
          <w:rFonts w:ascii="Times New Roman" w:hAnsi="Times New Roman" w:cs="Times New Roman"/>
          <w:sz w:val="24"/>
          <w:szCs w:val="24"/>
        </w:rPr>
        <w:t>. godine usvaja</w:t>
      </w:r>
    </w:p>
    <w:p w14:paraId="496D849E" w14:textId="77777777" w:rsidR="00750DC0" w:rsidRDefault="00750DC0" w:rsidP="00750DC0"/>
    <w:p w14:paraId="09858309" w14:textId="77777777" w:rsidR="00750DC0" w:rsidRDefault="00750DC0" w:rsidP="00750DC0"/>
    <w:p w14:paraId="62009761" w14:textId="77777777" w:rsidR="00750DC0" w:rsidRDefault="00750DC0" w:rsidP="00750DC0"/>
    <w:p w14:paraId="4BBC5D66" w14:textId="77777777" w:rsidR="00750DC0" w:rsidRDefault="00750DC0" w:rsidP="00750DC0"/>
    <w:p w14:paraId="1457E0E2" w14:textId="77777777" w:rsidR="00750DC0" w:rsidRDefault="00750DC0" w:rsidP="00750DC0"/>
    <w:p w14:paraId="0A5AF4E1" w14:textId="77777777" w:rsidR="00750DC0" w:rsidRDefault="00750DC0" w:rsidP="00750DC0"/>
    <w:p w14:paraId="5E7106BF" w14:textId="77777777" w:rsidR="00750DC0" w:rsidRDefault="00750DC0" w:rsidP="00750DC0"/>
    <w:p w14:paraId="193DC2A1" w14:textId="7F9BD898" w:rsidR="00750DC0" w:rsidRPr="000D15C4" w:rsidRDefault="006D481D" w:rsidP="00750DC0">
      <w:pPr>
        <w:pStyle w:val="Naslov3"/>
        <w:spacing w:before="120" w:after="120"/>
        <w:jc w:val="center"/>
        <w:rPr>
          <w:rFonts w:ascii="Times New Roman" w:hAnsi="Times New Roman"/>
          <w:noProof/>
          <w:sz w:val="28"/>
          <w:szCs w:val="28"/>
          <w:lang w:val="hr-HR"/>
        </w:rPr>
      </w:pPr>
      <w:r>
        <w:rPr>
          <w:rFonts w:ascii="Times New Roman" w:hAnsi="Times New Roman"/>
          <w:noProof/>
          <w:sz w:val="28"/>
          <w:szCs w:val="28"/>
          <w:lang w:val="hr-HR"/>
        </w:rPr>
        <w:t>POLU</w:t>
      </w:r>
      <w:r w:rsidR="00750DC0" w:rsidRPr="000D15C4">
        <w:rPr>
          <w:rFonts w:ascii="Times New Roman" w:hAnsi="Times New Roman"/>
          <w:noProof/>
          <w:sz w:val="28"/>
          <w:szCs w:val="28"/>
          <w:lang w:val="hr-HR"/>
        </w:rPr>
        <w:t>GODIŠNJI IZVJEŠTAJ O IZVRŠENJU</w:t>
      </w:r>
    </w:p>
    <w:p w14:paraId="311CB144" w14:textId="689B79F2" w:rsidR="00750DC0" w:rsidRPr="00750DC0" w:rsidRDefault="00750DC0" w:rsidP="00750DC0">
      <w:pPr>
        <w:jc w:val="center"/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</w:pPr>
      <w:r w:rsidRPr="00750DC0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>FINANCIJSKOG PLANA</w:t>
      </w:r>
    </w:p>
    <w:p w14:paraId="34C95C6A" w14:textId="5E80F17E" w:rsidR="00750DC0" w:rsidRPr="00750DC0" w:rsidRDefault="00750DC0" w:rsidP="00750DC0">
      <w:pPr>
        <w:jc w:val="center"/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</w:pPr>
      <w:r w:rsidRPr="00750DC0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 xml:space="preserve">JAVNE VATROGASNE POSTROJBE </w:t>
      </w:r>
      <w:r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>PULA</w:t>
      </w:r>
    </w:p>
    <w:p w14:paraId="2BEB18C3" w14:textId="6C9F6889" w:rsidR="00750DC0" w:rsidRPr="00750DC0" w:rsidRDefault="00750DC0" w:rsidP="00750DC0">
      <w:pPr>
        <w:jc w:val="center"/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</w:pPr>
      <w:r w:rsidRPr="00750DC0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>ZA 202</w:t>
      </w:r>
      <w:r w:rsidR="004B089F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>5</w:t>
      </w:r>
      <w:r w:rsidRPr="00750DC0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hr-HR"/>
        </w:rPr>
        <w:t>. GODINU</w:t>
      </w:r>
    </w:p>
    <w:p w14:paraId="7521CAE7" w14:textId="77777777" w:rsidR="00750DC0" w:rsidRDefault="00750DC0" w:rsidP="00750DC0">
      <w:pPr>
        <w:rPr>
          <w:sz w:val="32"/>
        </w:rPr>
      </w:pPr>
    </w:p>
    <w:p w14:paraId="157A238A" w14:textId="1E0688BB" w:rsidR="0050142B" w:rsidRDefault="0050142B"/>
    <w:p w14:paraId="7BB82527" w14:textId="62764459" w:rsidR="005F6541" w:rsidRDefault="005F6541"/>
    <w:p w14:paraId="6E28FBD9" w14:textId="1E0606A5" w:rsidR="005F6541" w:rsidRDefault="005F6541"/>
    <w:p w14:paraId="6839AC0D" w14:textId="078A4CD6" w:rsidR="00CD473A" w:rsidRDefault="00CD473A"/>
    <w:p w14:paraId="5FB2669C" w14:textId="77777777" w:rsidR="00CD473A" w:rsidRDefault="00CD473A"/>
    <w:p w14:paraId="2CE4520A" w14:textId="77777777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F034301" w14:textId="77777777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411F0EE" w14:textId="77777777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B151381" w14:textId="77777777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C9E47CB" w14:textId="77777777" w:rsidR="001B3DF0" w:rsidRPr="006A5E32" w:rsidRDefault="001B3DF0" w:rsidP="006A5E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</w:pPr>
    </w:p>
    <w:p w14:paraId="7128EBE0" w14:textId="77777777" w:rsidR="006A5E32" w:rsidRDefault="006A5E32" w:rsidP="006A5E32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</w:pPr>
    </w:p>
    <w:p w14:paraId="4783D77A" w14:textId="77777777" w:rsidR="006A5E32" w:rsidRDefault="006A5E32" w:rsidP="006A5E32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</w:pPr>
    </w:p>
    <w:p w14:paraId="5B981BD6" w14:textId="77777777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DDE28DC" w14:textId="77777777" w:rsidR="00032977" w:rsidRDefault="00032977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2919024" w14:textId="77777777" w:rsidR="00032977" w:rsidRDefault="00032977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1B577A1" w14:textId="3843A9C3" w:rsidR="001B3DF0" w:rsidRDefault="001B3DF0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6D46600" w14:textId="63B1EDB9" w:rsidR="00507466" w:rsidRDefault="00507466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5F654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I OPĆI DIO </w:t>
      </w:r>
      <w:r w:rsidR="009C393C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GODIŠNJEG IZVJEŠTAJA</w:t>
      </w:r>
    </w:p>
    <w:p w14:paraId="2ACCCEE1" w14:textId="77777777" w:rsidR="008D5D45" w:rsidRDefault="008D5D45" w:rsidP="008D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5D8779B" w14:textId="77777777" w:rsidR="00EE59E3" w:rsidRDefault="00EE59E3" w:rsidP="008D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6AB87A45" w14:textId="3DE42E7E" w:rsidR="008D5D45" w:rsidRDefault="008D5D45" w:rsidP="008D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Sažetak Računa prihoda i rashoda i Računa finaciranja</w:t>
      </w:r>
    </w:p>
    <w:p w14:paraId="42378E85" w14:textId="00AB7D2C" w:rsidR="008D5D45" w:rsidRDefault="008D5D45" w:rsidP="008D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za razdoblje od 01.01.do 30.06.202</w:t>
      </w:r>
      <w:r w:rsidR="004B089F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5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. godine</w:t>
      </w:r>
    </w:p>
    <w:p w14:paraId="146963B3" w14:textId="77777777" w:rsidR="008D5D45" w:rsidRDefault="008D5D45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02A6FD0" w14:textId="77777777" w:rsidR="00897968" w:rsidRDefault="00897968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51491714" w14:textId="4433D37C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880"/>
        <w:gridCol w:w="1384"/>
        <w:gridCol w:w="1384"/>
        <w:gridCol w:w="1384"/>
        <w:gridCol w:w="1006"/>
        <w:gridCol w:w="960"/>
      </w:tblGrid>
      <w:tr w:rsidR="00804B20" w:rsidRPr="00804B20" w14:paraId="00E86C73" w14:textId="77777777" w:rsidTr="00804B20">
        <w:trPr>
          <w:trHeight w:val="51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D3AB39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F5C547E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42234C0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F4E6E76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F06DFF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8B8B445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804B20" w:rsidRPr="00804B20" w14:paraId="7D49A027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951FC9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F16213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4C4241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9678CD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A52B5D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7D4EEC" w14:textId="77777777" w:rsidR="00804B20" w:rsidRPr="00804B20" w:rsidRDefault="00804B20" w:rsidP="00804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804B20" w:rsidRPr="00804B20" w14:paraId="70253234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201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153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1.578.933,83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498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800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1.748.379,94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B4D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0A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38,94%</w:t>
            </w:r>
          </w:p>
        </w:tc>
      </w:tr>
      <w:tr w:rsidR="00804B20" w:rsidRPr="00804B20" w14:paraId="14153856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F40B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2D46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CA1E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CC1F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85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AE8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4B20" w:rsidRPr="00804B20" w14:paraId="70A342FB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FB9C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444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1.579.383,83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889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882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1.748.379,94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E4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326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38,94%</w:t>
            </w:r>
          </w:p>
        </w:tc>
      </w:tr>
      <w:tr w:rsidR="00804B20" w:rsidRPr="00804B20" w14:paraId="3DF6B5A9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90A4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E5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1.475.404,76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65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3.997.100,00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02C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1.831.969,75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48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198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45,83%</w:t>
            </w:r>
          </w:p>
        </w:tc>
      </w:tr>
      <w:tr w:rsidR="00804B20" w:rsidRPr="00804B20" w14:paraId="5807DC9E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E62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053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60.064,84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B9C4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492.900,00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34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1.612,06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804B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8242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0,33%</w:t>
            </w:r>
          </w:p>
        </w:tc>
      </w:tr>
      <w:tr w:rsidR="00804B20" w:rsidRPr="00804B20" w14:paraId="7DA31DAA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6D8B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46A8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1.535.469,60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A114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547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1.833.581,81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E54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FD7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40,84%</w:t>
            </w:r>
          </w:p>
        </w:tc>
      </w:tr>
      <w:tr w:rsidR="00804B20" w:rsidRPr="00804B20" w14:paraId="4F95113B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5C5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FE0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43.914,23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9136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A07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-85.201,87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5CAF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-196,03%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82DC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804B20" w:rsidRPr="00804B20" w14:paraId="24296991" w14:textId="77777777" w:rsidTr="00804B20">
        <w:trPr>
          <w:trHeight w:val="255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C2E013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1AF1FF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C2AD37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7BC7D6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AE20B4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04B20" w:rsidRPr="00804B20" w14:paraId="5B38EF50" w14:textId="77777777" w:rsidTr="00804B20">
        <w:trPr>
          <w:trHeight w:val="52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3A0C9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394D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99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984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FB3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7096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4B20" w:rsidRPr="00804B20" w14:paraId="74512A86" w14:textId="77777777" w:rsidTr="00804B20">
        <w:trPr>
          <w:trHeight w:val="52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1B6DE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1E38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D55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3831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01F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AAD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4B20" w:rsidRPr="00804B20" w14:paraId="5AEBBC5B" w14:textId="77777777" w:rsidTr="00804B2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420D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D1CC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8097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F89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9AD3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B9C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804B20" w:rsidRPr="00804B20" w14:paraId="6E597D3A" w14:textId="77777777" w:rsidTr="00804B20">
        <w:trPr>
          <w:trHeight w:val="52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5E359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A394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73.156,43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1ADD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6FAB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D5B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1BE9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4B20" w:rsidRPr="00804B20" w14:paraId="5FA406D7" w14:textId="77777777" w:rsidTr="00804B20">
        <w:trPr>
          <w:trHeight w:val="7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61420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BC9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57.638,13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D0C0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81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A9AE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90D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04B20" w:rsidRPr="00804B20" w14:paraId="6758041E" w14:textId="77777777" w:rsidTr="00804B20">
        <w:trPr>
          <w:trHeight w:val="8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2A74E42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71FFE2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726CFF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CC620D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DA90BF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EFCB54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04B20" w:rsidRPr="00804B20" w14:paraId="6F96A084" w14:textId="77777777" w:rsidTr="00804B20">
        <w:trPr>
          <w:trHeight w:val="52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25B" w14:textId="77777777" w:rsidR="00804B20" w:rsidRPr="00804B20" w:rsidRDefault="00804B20" w:rsidP="0080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566A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117.070,66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F3AE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2583" w14:textId="77777777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4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-85.201,87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17B" w14:textId="0475FD5F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54C" w14:textId="3D85D46B" w:rsidR="00804B20" w:rsidRPr="00804B20" w:rsidRDefault="00804B20" w:rsidP="00804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89E866E" w14:textId="77777777" w:rsidR="00A87DB5" w:rsidRDefault="00A87DB5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AC7BD17" w14:textId="77777777" w:rsidR="006B446D" w:rsidRDefault="006B446D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BFFA1A5" w14:textId="470C9D41" w:rsidR="006B446D" w:rsidRDefault="006B446D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3A8C4B4F" w14:textId="0B683AF0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EA54876" w14:textId="77777777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7E1C984" w14:textId="77777777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6840F847" w14:textId="77777777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9DA7393" w14:textId="77777777" w:rsidR="00AB1F06" w:rsidRDefault="00AB1F06" w:rsidP="009D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75E8728" w14:textId="428BB868" w:rsidR="00507466" w:rsidRPr="00507466" w:rsidRDefault="00507466" w:rsidP="00507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56712" w14:textId="027FD61D" w:rsidR="00507466" w:rsidRDefault="00507466" w:rsidP="00AA5E5F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D45CF54" w14:textId="77777777" w:rsidR="00507466" w:rsidRDefault="00507466" w:rsidP="005F65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39519B1F" w14:textId="77777777" w:rsidR="00CD473A" w:rsidRDefault="00CD473A">
      <w:pPr>
        <w:sectPr w:rsidR="00CD473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6008" w:type="dxa"/>
        <w:tblLook w:val="04A0" w:firstRow="1" w:lastRow="0" w:firstColumn="1" w:lastColumn="0" w:noHBand="0" w:noVBand="1"/>
      </w:tblPr>
      <w:tblGrid>
        <w:gridCol w:w="16336"/>
        <w:gridCol w:w="710"/>
        <w:gridCol w:w="655"/>
        <w:gridCol w:w="635"/>
        <w:gridCol w:w="444"/>
        <w:gridCol w:w="617"/>
        <w:gridCol w:w="1025"/>
        <w:gridCol w:w="721"/>
        <w:gridCol w:w="921"/>
        <w:gridCol w:w="734"/>
        <w:gridCol w:w="908"/>
        <w:gridCol w:w="377"/>
        <w:gridCol w:w="849"/>
        <w:gridCol w:w="336"/>
        <w:gridCol w:w="740"/>
      </w:tblGrid>
      <w:tr w:rsidR="00753DFB" w:rsidRPr="004278AD" w14:paraId="284C3996" w14:textId="77777777" w:rsidTr="0019686C">
        <w:trPr>
          <w:trHeight w:val="183"/>
        </w:trPr>
        <w:tc>
          <w:tcPr>
            <w:tcW w:w="1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61" w:type="dxa"/>
              <w:tblLook w:val="04A0" w:firstRow="1" w:lastRow="0" w:firstColumn="1" w:lastColumn="0" w:noHBand="0" w:noVBand="1"/>
            </w:tblPr>
            <w:tblGrid>
              <w:gridCol w:w="1557"/>
              <w:gridCol w:w="151"/>
              <w:gridCol w:w="182"/>
              <w:gridCol w:w="446"/>
              <w:gridCol w:w="463"/>
              <w:gridCol w:w="457"/>
              <w:gridCol w:w="453"/>
              <w:gridCol w:w="467"/>
              <w:gridCol w:w="443"/>
              <w:gridCol w:w="477"/>
              <w:gridCol w:w="432"/>
              <w:gridCol w:w="488"/>
              <w:gridCol w:w="419"/>
              <w:gridCol w:w="252"/>
              <w:gridCol w:w="656"/>
              <w:gridCol w:w="261"/>
              <w:gridCol w:w="494"/>
              <w:gridCol w:w="44"/>
              <w:gridCol w:w="712"/>
              <w:gridCol w:w="63"/>
              <w:gridCol w:w="607"/>
              <w:gridCol w:w="185"/>
              <w:gridCol w:w="555"/>
              <w:gridCol w:w="300"/>
              <w:gridCol w:w="446"/>
              <w:gridCol w:w="310"/>
              <w:gridCol w:w="600"/>
              <w:gridCol w:w="156"/>
              <w:gridCol w:w="367"/>
              <w:gridCol w:w="389"/>
              <w:gridCol w:w="283"/>
              <w:gridCol w:w="248"/>
              <w:gridCol w:w="285"/>
              <w:gridCol w:w="418"/>
              <w:gridCol w:w="91"/>
              <w:gridCol w:w="189"/>
              <w:gridCol w:w="266"/>
              <w:gridCol w:w="37"/>
            </w:tblGrid>
            <w:tr w:rsidR="006F57F0" w:rsidRPr="00356384" w14:paraId="23503BD6" w14:textId="77777777" w:rsidTr="00907866">
              <w:trPr>
                <w:gridAfter w:val="1"/>
                <w:wAfter w:w="37" w:type="dxa"/>
                <w:trHeight w:val="240"/>
              </w:trPr>
              <w:tc>
                <w:tcPr>
                  <w:tcW w:w="411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CC9CA" w14:textId="40998481" w:rsidR="00356384" w:rsidRPr="00356384" w:rsidRDefault="00356384" w:rsidP="003563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lastRenderedPageBreak/>
                    <w:t>J</w:t>
                  </w:r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AVNA VATROGASNA POSTROJBA PULA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61828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9A534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37A3A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50812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35DE6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625B5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17E61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9F8D3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B8939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C3B74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1B2A0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E63AA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24BCC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29F30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1B242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F57F0" w:rsidRPr="00356384" w14:paraId="389C6EED" w14:textId="77777777" w:rsidTr="00907866">
              <w:trPr>
                <w:gridAfter w:val="1"/>
                <w:wAfter w:w="37" w:type="dxa"/>
                <w:trHeight w:val="240"/>
              </w:trPr>
              <w:tc>
                <w:tcPr>
                  <w:tcW w:w="23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43A83" w14:textId="0E9DFD0A" w:rsidR="00356384" w:rsidRPr="00356384" w:rsidRDefault="00356384" w:rsidP="003563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proofErr w:type="spellStart"/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Dobrilina</w:t>
                  </w:r>
                  <w:proofErr w:type="spellEnd"/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 xml:space="preserve"> 16</w:t>
                  </w:r>
                  <w:r w:rsidR="0077733B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, Pula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58F28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1A3A9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051BB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C236A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760FE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0AEB0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A7B8B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242A9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42BF4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71253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6B619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49C8C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67AEE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76CEA8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2E6D6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E777C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A9E6C" w14:textId="77777777" w:rsidR="00356384" w:rsidRPr="00356384" w:rsidRDefault="00356384" w:rsidP="00356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F57F0" w:rsidRPr="00356384" w14:paraId="040DB177" w14:textId="77777777" w:rsidTr="00907866">
              <w:trPr>
                <w:gridAfter w:val="1"/>
                <w:wAfter w:w="37" w:type="dxa"/>
                <w:trHeight w:val="240"/>
              </w:trPr>
              <w:tc>
                <w:tcPr>
                  <w:tcW w:w="23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583DD5" w14:textId="11A3A72E" w:rsidR="0077733B" w:rsidRPr="00356384" w:rsidRDefault="0077733B" w:rsidP="007773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OIB: 48582664867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8F603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29E92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9F378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E37C8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ED0CB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CCD1E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5DBC7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D4001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D309E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EF777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85073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2F270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BA867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84F9C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2E57F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AFA19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97D6E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7733B" w:rsidRPr="00356384" w14:paraId="30F04BBB" w14:textId="77777777" w:rsidTr="00907866">
              <w:trPr>
                <w:gridAfter w:val="1"/>
                <w:wAfter w:w="37" w:type="dxa"/>
                <w:trHeight w:val="255"/>
              </w:trPr>
              <w:tc>
                <w:tcPr>
                  <w:tcW w:w="13971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79FAE" w14:textId="77777777" w:rsidR="0077733B" w:rsidRPr="00356384" w:rsidRDefault="0077733B" w:rsidP="007773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</w:pPr>
                  <w:r w:rsidRPr="00356384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  <w:t>Prihodi i rashodi prema ekonomskoj klasifikaciji</w:t>
                  </w: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5B513" w14:textId="77777777" w:rsidR="0077733B" w:rsidRPr="00356384" w:rsidRDefault="0077733B" w:rsidP="007773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7733B" w:rsidRPr="00356384" w14:paraId="11B6A209" w14:textId="77777777" w:rsidTr="00907866">
              <w:trPr>
                <w:gridAfter w:val="1"/>
                <w:wAfter w:w="37" w:type="dxa"/>
                <w:trHeight w:val="4672"/>
              </w:trPr>
              <w:tc>
                <w:tcPr>
                  <w:tcW w:w="13971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C225A" w14:textId="76B4EEBD" w:rsidR="0077733B" w:rsidRDefault="0077733B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Za razdoblje od 01.01.202</w:t>
                  </w:r>
                  <w:r w:rsidR="00804B20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5</w:t>
                  </w:r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. do 30.06.202</w:t>
                  </w:r>
                  <w:r w:rsidR="00804B20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5</w:t>
                  </w:r>
                  <w:r w:rsidRPr="00356384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.</w:t>
                  </w:r>
                </w:p>
                <w:p w14:paraId="2C1637C7" w14:textId="77777777" w:rsidR="00D1738C" w:rsidRDefault="00D1738C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  <w:p w14:paraId="5ABF4530" w14:textId="77777777" w:rsidR="00D1738C" w:rsidRDefault="00D1738C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  <w:tbl>
                  <w:tblPr>
                    <w:tblW w:w="13690" w:type="dxa"/>
                    <w:tblLook w:val="04A0" w:firstRow="1" w:lastRow="0" w:firstColumn="1" w:lastColumn="0" w:noHBand="0" w:noVBand="1"/>
                  </w:tblPr>
                  <w:tblGrid>
                    <w:gridCol w:w="109"/>
                    <w:gridCol w:w="7941"/>
                    <w:gridCol w:w="1269"/>
                    <w:gridCol w:w="1268"/>
                    <w:gridCol w:w="1269"/>
                    <w:gridCol w:w="987"/>
                    <w:gridCol w:w="847"/>
                  </w:tblGrid>
                  <w:tr w:rsidR="00D1738C" w:rsidRPr="00804B20" w14:paraId="7C3060E5" w14:textId="77777777" w:rsidTr="00D1738C">
                    <w:trPr>
                      <w:gridBefore w:val="1"/>
                      <w:wBefore w:w="109" w:type="dxa"/>
                      <w:trHeight w:val="58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16C96756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bookmarkStart w:id="0" w:name="_Hlk203462397"/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Račun / opis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478DFC79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2024.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2D1B8A92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Izvorni plan 2025.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149FCA00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2025.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51151600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3/1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30F9DA17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3/2</w:t>
                        </w:r>
                      </w:p>
                    </w:tc>
                  </w:tr>
                  <w:tr w:rsidR="00D1738C" w:rsidRPr="00804B20" w14:paraId="2D97855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702286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58D4D0F5" w14:textId="77777777" w:rsidR="00804B20" w:rsidRPr="00804B20" w:rsidRDefault="00804B20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761232A" w14:textId="77777777" w:rsidR="00804B20" w:rsidRPr="00804B20" w:rsidRDefault="00804B20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48EEC21" w14:textId="77777777" w:rsidR="00804B20" w:rsidRPr="00804B20" w:rsidRDefault="00804B20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5A05A127" w14:textId="77777777" w:rsidR="00804B20" w:rsidRPr="00804B20" w:rsidRDefault="00804B20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50435FA" w14:textId="77777777" w:rsidR="00804B20" w:rsidRPr="00804B20" w:rsidRDefault="00804B20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5</w:t>
                        </w:r>
                      </w:p>
                    </w:tc>
                  </w:tr>
                  <w:bookmarkEnd w:id="0"/>
                  <w:tr w:rsidR="00D1738C" w:rsidRPr="00804B20" w14:paraId="2E822BF7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8E46747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 Prihodi poslovanja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AD97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1.578.933,83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56BAA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3402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1.748.379,94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010DC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110,73%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7B83F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38,94%</w:t>
                        </w:r>
                      </w:p>
                    </w:tc>
                  </w:tr>
                  <w:tr w:rsidR="00D1738C" w:rsidRPr="00804B20" w14:paraId="794740E4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2DD7407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63 Pomoći iz inozemstva i od subjekata unutar općeg proračuna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B90D7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346.721,36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45FDF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949.300,00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2D035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436.060,00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E5D7D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125,77%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95B4D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45,93%</w:t>
                        </w:r>
                      </w:p>
                    </w:tc>
                  </w:tr>
                  <w:tr w:rsidR="00D1738C" w:rsidRPr="00804B20" w14:paraId="7CEB3A6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D91722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636 Pomoći proračunskim korisnicima iz proračuna koji im nije nadležan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D4F77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346.721,36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25898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1929C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436.060,00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6574C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125,77%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3D4E2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38C7463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2C6944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6361 Tekuće pomoći proračunskim korisnicima iz proračuna koji im nije nadležan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F4C9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346.721,36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BB06F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07FD9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436.060,00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984FF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125,77%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41775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C0FA18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E59D8BF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64 Prihodi od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DD0EF9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943C6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DDFC0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19A23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1928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04C03A6" w14:textId="77777777" w:rsidTr="00D1738C">
                    <w:trPr>
                      <w:gridBefore w:val="1"/>
                      <w:wBefore w:w="109" w:type="dxa"/>
                      <w:trHeight w:val="46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EB5B43B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65 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D007C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234,88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C7876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17A8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36,21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E5F17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15,42%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6D686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6,04%</w:t>
                        </w:r>
                      </w:p>
                    </w:tc>
                  </w:tr>
                  <w:tr w:rsidR="00D1738C" w:rsidRPr="00804B20" w14:paraId="3CE866F7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F34E048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652 Prihodi po posebnim propisima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8CF01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234,88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E281B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96EC2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36,21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EF31A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15,42%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5062B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737B8F4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AC2F310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6526 Ostali nespomenuti prihodi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F384C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234,88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39A99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B39B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36,21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27FC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15,42%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FD65D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23FEE8A" w14:textId="77777777" w:rsidTr="00D1738C">
                    <w:trPr>
                      <w:gridBefore w:val="1"/>
                      <w:wBefore w:w="109" w:type="dxa"/>
                      <w:trHeight w:val="49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FBF1AB1" w14:textId="139B6855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66 Prihodi od prodaje proizvoda i robe te pruženih usluga, prihodi od donacija te povrati po protestira</w:t>
                        </w:r>
                        <w:r w:rsidR="009B69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nim jamstvima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6FDF0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16.659,37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CBEA8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108.000,00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F0447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18.511,54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80190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111,12%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4BC13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17,14%</w:t>
                        </w:r>
                      </w:p>
                    </w:tc>
                  </w:tr>
                  <w:tr w:rsidR="00D1738C" w:rsidRPr="00804B20" w14:paraId="2D11B6C3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AEE745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661 Prihodi od prodaje proizvoda i robe te pruženih usluga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EB125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16.159,37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2A758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EACC0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17.701,54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1ED2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109,54%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14BFD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AFBFFA8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9D2E49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6615 Prihodi od pruženih usluga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05590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16.159,37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34FEF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27189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17.701,54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E702D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109,54%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63E95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55A61132" w14:textId="77777777" w:rsidTr="00D1738C">
                    <w:trPr>
                      <w:gridBefore w:val="1"/>
                      <w:wBefore w:w="109" w:type="dxa"/>
                      <w:trHeight w:val="510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08BA155" w14:textId="68D60F22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663 Donacije od pravnih i fizičkih osoba izvan općeg proračuna te povrat donacija i kapitalnih pomoći po</w:t>
                        </w:r>
                        <w:r w:rsidR="009B69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 xml:space="preserve"> protestiranim jamstvima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8F06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EC686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6F0DD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72CED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162,00%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75F0D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2D8C29D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EE8CDE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6631 Tekuće donacije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9F1B7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ED262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DE81E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2AACE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36D01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BA6368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AEE1D8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6632 Kapitalne donacije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AE90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6A3E9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EFA4D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935CE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5F64A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C607B0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287F380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67 Prihodi iz nadležnog proračuna i od HZZO-a temeljem ugovornih obveza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95508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1.215.318,22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3F8C3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3.432.000,00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F2B17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1.293.772,19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8DC38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106,46%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938BA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37,70%</w:t>
                        </w:r>
                      </w:p>
                    </w:tc>
                  </w:tr>
                  <w:tr w:rsidR="00D1738C" w:rsidRPr="00804B20" w14:paraId="2C406A50" w14:textId="77777777" w:rsidTr="00D1738C">
                    <w:trPr>
                      <w:gridBefore w:val="1"/>
                      <w:wBefore w:w="109" w:type="dxa"/>
                      <w:trHeight w:val="510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5D7A37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671 Prihodi iz nadležnog proračuna za financiranje redovne djelatnosti proračunskih korisnika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26574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1.215.318,22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F06EE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DB81C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1.293.772,19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0DFAC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106,46%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5A24B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35D2C4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E3B3802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6711 Prihodi iz nadležnog proračuna za financiranje rashoda poslovanja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E0805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1.214.428,76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A94F3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51E71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1.292.665,13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1B8CC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106,44%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DF3F72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83C418E" w14:textId="77777777" w:rsidTr="00D1738C">
                    <w:trPr>
                      <w:gridBefore w:val="1"/>
                      <w:wBefore w:w="109" w:type="dxa"/>
                      <w:trHeight w:val="161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8782735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6712 Prihodi iz nadležnog proračuna za financiranje rashoda za nabavu nefinancijske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851BC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889,46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87A77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314C7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1.107,06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4F33F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124,46%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8A6B1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8998FD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AABAE64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7 Prihodi od prodaje nefinancijske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4E08F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A04D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59105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D497B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D5DF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73E1B6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62FE1CE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72 Prihodi od prodaje proizvedene dugotrajne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6663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BD1A2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A1753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1B263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95ADE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084BBB3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AF7653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723 Prihodi od prodaje prijevoznih sredstava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5B118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BBB3B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EB624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5367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A7982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8368B2B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F21B053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7231 Prijevozna sredstva u cestovnom prometu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76220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03C05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F63E4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C08CA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E1A2F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166FB16" w14:textId="77777777" w:rsidTr="00D1738C">
                    <w:trPr>
                      <w:trHeight w:val="426"/>
                    </w:trPr>
                    <w:tc>
                      <w:tcPr>
                        <w:tcW w:w="8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78EDD694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bookmarkStart w:id="1" w:name="_Hlk203462525"/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lastRenderedPageBreak/>
                          <w:t>Račun / opis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574DEA2B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2024.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631D5DF1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Izvorni plan 2025.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78A9DD16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2025.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27937C78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3/1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601ADB96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3/2</w:t>
                        </w:r>
                      </w:p>
                    </w:tc>
                  </w:tr>
                  <w:tr w:rsidR="00D1738C" w:rsidRPr="00804B20" w14:paraId="6791E675" w14:textId="77777777" w:rsidTr="00D1738C">
                    <w:trPr>
                      <w:trHeight w:val="255"/>
                    </w:trPr>
                    <w:tc>
                      <w:tcPr>
                        <w:tcW w:w="8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6BB3C8D" w14:textId="77777777" w:rsidR="00D1738C" w:rsidRPr="00804B20" w:rsidRDefault="00D1738C" w:rsidP="00621C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380EEAF4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F587001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ECD9646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00AF94F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00B2B89" w14:textId="77777777" w:rsidR="00D1738C" w:rsidRPr="00804B20" w:rsidRDefault="00D1738C" w:rsidP="00621CE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5</w:t>
                        </w:r>
                      </w:p>
                    </w:tc>
                  </w:tr>
                  <w:bookmarkEnd w:id="1"/>
                  <w:tr w:rsidR="00D1738C" w:rsidRPr="00804B20" w14:paraId="2830431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F85C07F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 Rashodi poslovanja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3693B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1.475.404,76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CE9E1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3.997.100,00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92B4F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1.831.969,75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342F0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124,17%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D299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45,83%</w:t>
                        </w:r>
                      </w:p>
                    </w:tc>
                  </w:tr>
                  <w:tr w:rsidR="00D1738C" w:rsidRPr="00804B20" w14:paraId="113EC4E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8BAC84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31 Rashodi za zaposlene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661CE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1.343.028,44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6F47F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3.517.000,00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28D99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1.700.084,22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2FA63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126,59%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0815F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48,34%</w:t>
                        </w:r>
                      </w:p>
                    </w:tc>
                  </w:tr>
                  <w:tr w:rsidR="00D1738C" w:rsidRPr="00804B20" w14:paraId="7578C5E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14792F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311 Plaće (Bruto)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79BA7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1.034.800,30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F26E0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72AD8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1.292.841,75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77B80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124,94%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DB05C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13A64DA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4E2F3A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3111 Plaće za redovan rad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768FF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987.518,98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7E1D5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399E2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1.223.953,92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75137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123,94%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777E6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54A5D08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83BFB34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3113 Plaće za prekovremeni rad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0C4F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47.281,32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31381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415D3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68.887,83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A2BE4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145,70%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6BABA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5CC9AFE5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83EC713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312 Ostali rashodi za zaposlene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682EE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87.856,10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DBDEF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4453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120.502,11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DF8F3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137,16%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861B1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0398CA0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06DD808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3121 Ostali rashodi za zaposlene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057DB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87.856,10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B4313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D0E81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120.502,11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65984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137,16%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8F72F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807C73D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D4A062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313 Doprinosi na plaće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19834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220.372,04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CF078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1794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286.740,36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755B9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130,12%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47E42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F052AEC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D7355A9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3131 Doprinosi za mirovinsko osiguranje za staž s povećanim trajanjem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AA20D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75.900,81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B9C57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97AD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95.516,84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495ED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125,84%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C76F4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5803D30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4C6CB0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3132 Doprinosi za obvezno zdravstveno osiguranje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F2645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144.471,23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FF631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89909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191.223,52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7D013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132,36%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A5823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661A545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3B8146E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32 Materijalni rashodi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4B06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132.375,08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21382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474.000,00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7472C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131.884,81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634B9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99,63%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58312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27,82%</w:t>
                        </w:r>
                      </w:p>
                    </w:tc>
                  </w:tr>
                  <w:tr w:rsidR="00D1738C" w:rsidRPr="00804B20" w14:paraId="58454408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0DF938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321 Naknade troškova zaposlenima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1EB92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32.907,84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B2D96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4B070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35.568,17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5983B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108,08%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FCE9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92D9201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4FC430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3211 Službena putovanja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66B1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897,00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E7ECC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74A0A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1.478,65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4369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164,84%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EFAF8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D3D4AEA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4470089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3212 Naknade za prijevoz, za rad na terenu i odvojeni život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EC6F3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31.537,84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7497E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F3845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32.799,52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28727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104,00%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BB306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FEC662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36FEF3D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3213 Stručno usavršavanje zaposlenika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39D74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473,00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0533D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164B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1.290,00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A0A1A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272,73%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659AB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50560D5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B177E38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 Rashodi za materijal i energiju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520FF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40.655,62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3A9C7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90799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40.391,68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6385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99,35%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FCB70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CDA8FD1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A60791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3221 Uredski materijal i ostali materijalni rashodi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12133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4.016,04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76FC3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B7AE4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5.210,53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A5351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129,74%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F219F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510CEFBC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7CC0729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3222 Materijal i sirovine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3B9F9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15,40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671D3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D8459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F1477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500CE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1F45440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855E100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3223 Energija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A5B7D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16.522,16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894EF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A6967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16.376,37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E668E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99,12%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536FC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F9560BB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50FA2E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3224 Materijal i dijelovi za tekuće i investicijsko održavanje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ABC3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7.596,04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3417A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C0A9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3.628,90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EB05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47,77%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B0255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74A103A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ACD5E1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 xml:space="preserve">3225 Sitni inventar i </w:t>
                        </w:r>
                        <w:proofErr w:type="spellStart"/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autogume</w:t>
                        </w:r>
                        <w:proofErr w:type="spellEnd"/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95DA7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962,45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EA531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82164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3.718,97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9DB73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386,41%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8A00B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190A65C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F5D26D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3227 Službena, radna i zaštitna odjeća i obuća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7A83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11.543,53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EC78C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E34D6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11.456,91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1C543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99,25%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D7818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28DBB5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4ABF23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 Rashodi za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935F8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24.389,35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4C42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A4EE5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24.794,90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5977D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101,66%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568DE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AD013D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259DBB2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3231 Usluge telefona, interneta, pošte i prijevoza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4DE74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2.998,95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E4E5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FFEDE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2.446,54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571E8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81,58%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3ABF7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70D6D1E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970B1C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3232 Usluge tekućeg i investicijskog  održavanja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91F46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7.248,06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592AD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CC7E3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7.344,58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142D6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101,33%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1F6FB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D3D8680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91FBCC4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3233 Usluge promidžbe i informiranja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96CC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864,29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EE729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AE1CF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248,85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98EB1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28,79%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80C62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06E3DB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5DC44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3234 Komunalne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3FA14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3.310,32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BC1C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E652C6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3.427,13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02617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103,53%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616BB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173C024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43A24E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3235 Zakupnine i najamnine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63C9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398,17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40284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5706E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398,17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B1ED6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EDFF9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492662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09EEEF5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3236 Zdravstvene i veterinarske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420A9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348,08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D17A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A21300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741,14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BFC80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212,92%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69BD5D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F28D34D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F670B43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3237 Intelektualne i osobne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802A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1.439,18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FA771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B69C11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680,13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8E30A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47,26%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EDA03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2F62B82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C3ED89C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3238 Računalne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08B5E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4.239,76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36777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9109C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4.481,61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32404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105,70%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9148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6A0DCBD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8EFDC3D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3239 Ostale usluge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E0EAFA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3.542,54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A331FE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C1A773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5.026,75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41E03C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141,90%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44489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4BE3BF92" w14:textId="77777777" w:rsidTr="00BA6F54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63B80C02" w14:textId="2A86C380" w:rsidR="00D1738C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lastRenderedPageBreak/>
                          <w:t>Račun / opis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26B188B6" w14:textId="0F06CC76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2024.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03D67BBF" w14:textId="12DE7EDF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Izvorni plan 2025.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565608C1" w14:textId="7CB5E6BB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Izvršenje 2025.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3D9AC10F" w14:textId="69619D33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3/1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74ED3A55" w14:textId="60D8A4BD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Indeks  3/2</w:t>
                        </w:r>
                      </w:p>
                    </w:tc>
                  </w:tr>
                  <w:tr w:rsidR="00D1738C" w:rsidRPr="00804B20" w14:paraId="7F9CD87A" w14:textId="77777777" w:rsidTr="00BA6F54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55F6BE15" w14:textId="7234C01F" w:rsidR="00D1738C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75E72130" w14:textId="6CBB60D1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3EF12E6A" w14:textId="6B7E1FFE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458E7BA3" w14:textId="609E4D08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062A01F9" w14:textId="33FE0C31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</w:tcPr>
                      <w:p w14:paraId="149A5433" w14:textId="342676F0" w:rsidR="00D1738C" w:rsidRPr="00804B20" w:rsidRDefault="00D1738C" w:rsidP="00D1738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5</w:t>
                        </w:r>
                      </w:p>
                    </w:tc>
                  </w:tr>
                  <w:tr w:rsidR="00D1738C" w:rsidRPr="00804B20" w14:paraId="37E73F0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40EE04" w14:textId="52DFE002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 Ostali nespomenuti rashodi poslovanja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F7E180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34.422,27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92C15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11132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31.130,06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17CD0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90,44%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22536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007C14AA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6B00B6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3292 Premije osiguranja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070CE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34.319,38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87AC87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F2750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29.427,60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7FAFE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85,75%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8B48F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5473F375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316FD0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3293 Reprezentacija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9B3EE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49,81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C9F09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1E9A1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317,34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0966E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637,10%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D04F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95F5C5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4FC224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3294 Članarine i norme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7DBD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53,08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1964DA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3EDD4F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53,08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BCD89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100,00%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CD2DB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1D8631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661213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3295 Pristojbe i naknade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D06401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99530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1222A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446,04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C76F7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0B7D7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14C6B9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5F5489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3299 Ostali nespomenuti rashodi poslovanja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ACF0E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262A4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307F4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886,00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8F4A9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2E4CF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105A26A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C845FE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34 Financijski rashodi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31D55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1,24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D29A64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79A6E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0,72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04A4B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58,06%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2FCE2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0,72%</w:t>
                        </w:r>
                      </w:p>
                    </w:tc>
                  </w:tr>
                  <w:tr w:rsidR="00D1738C" w:rsidRPr="00804B20" w14:paraId="3210D6E6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347EF8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343 Ostali financijski rashodi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F7CE5B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1,24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B43FD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02F41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0,72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5A613B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58,06%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50F69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4CD6C01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10F984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3433 Zatezne kamate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410D20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1,24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A16C1B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BCF55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0,72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1DDB68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58,06%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7710D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302C2F4B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B55E26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37 Naknade građanima i kućanstvima na temelju osiguranja i druge naknade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E98DFA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8962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6.000,00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5F477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A07B4F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A745C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40F7FC3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1F27D7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 Rashodi za nabavu nefinancijske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48238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60.064,84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886D6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492.900,00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AD7F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1.612,06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9B4797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2,68%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163C2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0,33%</w:t>
                        </w:r>
                      </w:p>
                    </w:tc>
                  </w:tr>
                  <w:tr w:rsidR="00D1738C" w:rsidRPr="00804B20" w14:paraId="68BB8933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A52798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42 Rashodi za nabavu proizvedene dugotrajne imovine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CBE3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60.064,84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49650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492.900,00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B651E1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1.612,06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6FFA6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2,68%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E54CA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0,33%</w:t>
                        </w:r>
                      </w:p>
                    </w:tc>
                  </w:tr>
                  <w:tr w:rsidR="00D1738C" w:rsidRPr="00804B20" w14:paraId="656A8A8B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8B4922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422 Postrojenja i oprema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8194D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59.789,84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38B15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F7FBE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1.612,06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8851E4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2,70%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BA8AC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B144B8F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51F4AD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4221 Uredska oprema i namještaj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246631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713B5F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FF6FA0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1.130,81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6A04DF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49BE3E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34A96F9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36A2A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4222 Komunikacijska oprema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CB675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499,98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60813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4B0017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4F40A8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703FC0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288137F4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8E895A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4223 Oprema za održavanje i zaštitu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3812B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59.175,38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1F7B4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88158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481,25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86D55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0,81%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B3A302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1FCC5BFB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4C5646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4225 Instrumenti i uređaji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966B9D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114,48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AB11A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D0C438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046867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2627A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6E9E8BD9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18100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426 Nematerijalna proizvedena imovina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EECE84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275,00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757EFC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956C00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5D2FC4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FE3E0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  <w:tr w:rsidR="00D1738C" w:rsidRPr="00804B20" w14:paraId="74218254" w14:textId="77777777" w:rsidTr="00D1738C">
                    <w:trPr>
                      <w:gridBefore w:val="1"/>
                      <w:wBefore w:w="109" w:type="dxa"/>
                      <w:trHeight w:val="255"/>
                    </w:trPr>
                    <w:tc>
                      <w:tcPr>
                        <w:tcW w:w="7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6806F5" w14:textId="77777777" w:rsidR="00D1738C" w:rsidRPr="00804B20" w:rsidRDefault="00D1738C" w:rsidP="00D173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4262 Ulaganja u računalne programe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DFD0F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275,00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60D6D9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1EF60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D086E3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D39C56" w14:textId="77777777" w:rsidR="00D1738C" w:rsidRPr="00804B20" w:rsidRDefault="00D1738C" w:rsidP="00D173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</w:tr>
                </w:tbl>
                <w:p w14:paraId="71B1FF9A" w14:textId="77777777" w:rsidR="00804B20" w:rsidRDefault="00804B20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  <w:p w14:paraId="245DCC08" w14:textId="77777777" w:rsidR="00EE59E3" w:rsidRDefault="00EE59E3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  <w:p w14:paraId="1BB2D321" w14:textId="77777777" w:rsidR="00EE59E3" w:rsidRDefault="00EE59E3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  <w:p w14:paraId="0D9616C2" w14:textId="2675B804" w:rsidR="003C370B" w:rsidRPr="00356384" w:rsidRDefault="003C370B" w:rsidP="00EE59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F3D170" w14:textId="77777777" w:rsidR="0077733B" w:rsidRPr="00356384" w:rsidRDefault="0077733B" w:rsidP="007773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907866" w:rsidRPr="00356384" w14:paraId="505B8342" w14:textId="77777777" w:rsidTr="00907866">
              <w:trPr>
                <w:gridAfter w:val="1"/>
                <w:wAfter w:w="37" w:type="dxa"/>
                <w:trHeight w:val="240"/>
              </w:trPr>
              <w:tc>
                <w:tcPr>
                  <w:tcW w:w="1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E990E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286E1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D2295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4747C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5A864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9DB2C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79EE77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BE3002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44A268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735EA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C2C72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1F479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C7E61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92076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F304F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D3C57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08FD3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A70A9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0E986" w14:textId="77777777" w:rsidR="0077733B" w:rsidRPr="00356384" w:rsidRDefault="0077733B" w:rsidP="00777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F03D1" w:rsidRPr="002F03D1" w14:paraId="4023AD2C" w14:textId="77777777" w:rsidTr="00907866">
              <w:trPr>
                <w:gridAfter w:val="4"/>
                <w:wAfter w:w="580" w:type="dxa"/>
                <w:trHeight w:val="360"/>
              </w:trPr>
              <w:tc>
                <w:tcPr>
                  <w:tcW w:w="13881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AEBC5" w14:textId="77777777" w:rsidR="002F03D1" w:rsidRPr="00D1738C" w:rsidRDefault="002F03D1" w:rsidP="002F03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</w:pPr>
                  <w:r w:rsidRPr="00D1738C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  <w:t>Rashodi prema funkcijskoj klasifikaciji</w:t>
                  </w:r>
                </w:p>
              </w:tc>
            </w:tr>
            <w:tr w:rsidR="002F03D1" w:rsidRPr="002F03D1" w14:paraId="19CCB1AE" w14:textId="77777777" w:rsidTr="00907866">
              <w:trPr>
                <w:gridAfter w:val="4"/>
                <w:wAfter w:w="580" w:type="dxa"/>
                <w:trHeight w:val="255"/>
              </w:trPr>
              <w:tc>
                <w:tcPr>
                  <w:tcW w:w="13881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7EB22" w14:textId="255E0750" w:rsidR="002F03D1" w:rsidRDefault="002F03D1" w:rsidP="002F03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F03D1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Za razdoblje od 01.01.202</w:t>
                  </w:r>
                  <w:r w:rsidR="00804B2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</w:t>
                  </w:r>
                  <w:r w:rsidRPr="002F03D1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 do 30.06.202</w:t>
                  </w:r>
                  <w:r w:rsidR="00804B2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</w:t>
                  </w:r>
                  <w:r w:rsidRPr="002F03D1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</w:t>
                  </w:r>
                </w:p>
                <w:p w14:paraId="101932FC" w14:textId="77777777" w:rsidR="006E4B12" w:rsidRDefault="006E4B12" w:rsidP="002F03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3665" w:type="dxa"/>
                    <w:tblLook w:val="04A0" w:firstRow="1" w:lastRow="0" w:firstColumn="1" w:lastColumn="0" w:noHBand="0" w:noVBand="1"/>
                  </w:tblPr>
                  <w:tblGrid>
                    <w:gridCol w:w="5860"/>
                    <w:gridCol w:w="1710"/>
                    <w:gridCol w:w="1842"/>
                    <w:gridCol w:w="1701"/>
                    <w:gridCol w:w="1276"/>
                    <w:gridCol w:w="1276"/>
                  </w:tblGrid>
                  <w:tr w:rsidR="00907866" w:rsidRPr="00804B20" w14:paraId="27622EE1" w14:textId="77777777" w:rsidTr="00907866">
                    <w:trPr>
                      <w:trHeight w:val="510"/>
                    </w:trPr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65AEF3F8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Račun/Opis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vAlign w:val="bottom"/>
                        <w:hideMark/>
                      </w:tcPr>
                      <w:p w14:paraId="03D25DAB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2024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vAlign w:val="bottom"/>
                        <w:hideMark/>
                      </w:tcPr>
                      <w:p w14:paraId="3860242A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Izvorni plan 2025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vAlign w:val="bottom"/>
                        <w:hideMark/>
                      </w:tcPr>
                      <w:p w14:paraId="5B583E31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vAlign w:val="bottom"/>
                        <w:hideMark/>
                      </w:tcPr>
                      <w:p w14:paraId="6356BCF5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3/1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vAlign w:val="bottom"/>
                        <w:hideMark/>
                      </w:tcPr>
                      <w:p w14:paraId="119BF712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3/2</w:t>
                        </w:r>
                      </w:p>
                    </w:tc>
                  </w:tr>
                  <w:tr w:rsidR="00907866" w:rsidRPr="00804B20" w14:paraId="4EC2C43F" w14:textId="77777777" w:rsidTr="00907866">
                    <w:trPr>
                      <w:trHeight w:val="255"/>
                    </w:trPr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7CAD3032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 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1B1EF2CA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0D54F658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0F7B41F9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069EA32F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969696"/>
                        <w:noWrap/>
                        <w:vAlign w:val="bottom"/>
                        <w:hideMark/>
                      </w:tcPr>
                      <w:p w14:paraId="0EE6FE9F" w14:textId="77777777" w:rsidR="00804B20" w:rsidRPr="00804B20" w:rsidRDefault="00804B20" w:rsidP="00804B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</w:t>
                        </w:r>
                      </w:p>
                    </w:tc>
                  </w:tr>
                  <w:tr w:rsidR="00907866" w:rsidRPr="00804B20" w14:paraId="2167C7A4" w14:textId="77777777" w:rsidTr="00907866">
                    <w:trPr>
                      <w:trHeight w:val="255"/>
                    </w:trPr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20EF7E5A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Funkcijska klasifikacija  SVEUKUPNI RASHODI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1ECF17E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1.535.469,60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09D44D7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30AC7438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1.833.581,81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62F365B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119,42%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CC0DA"/>
                        <w:noWrap/>
                        <w:vAlign w:val="bottom"/>
                        <w:hideMark/>
                      </w:tcPr>
                      <w:p w14:paraId="2E9190A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40,84%</w:t>
                        </w:r>
                      </w:p>
                    </w:tc>
                  </w:tr>
                  <w:tr w:rsidR="00907866" w:rsidRPr="00804B20" w14:paraId="68E0B81E" w14:textId="77777777" w:rsidTr="00907866">
                    <w:trPr>
                      <w:trHeight w:val="255"/>
                    </w:trPr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62980D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Funkcijska klasifikacija 03 Javni red i sigurnost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6FEA6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1.535.469,60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80A71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981619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1.833.581,81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47BA5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119,42%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585C7B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40,84%</w:t>
                        </w:r>
                      </w:p>
                    </w:tc>
                  </w:tr>
                  <w:tr w:rsidR="00907866" w:rsidRPr="00804B20" w14:paraId="1804C2B6" w14:textId="77777777" w:rsidTr="00907866">
                    <w:trPr>
                      <w:trHeight w:val="255"/>
                    </w:trPr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10044426" w14:textId="77777777" w:rsidR="00804B20" w:rsidRPr="00804B20" w:rsidRDefault="00804B20" w:rsidP="00804B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Funkcijska klasifikacija 032 Usluge protupožarne zaštite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0EB712D7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1.535.469,60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205A7BF4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4A51FBC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1.833.581,81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46360892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119,42%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4DFEC"/>
                        <w:noWrap/>
                        <w:vAlign w:val="bottom"/>
                        <w:hideMark/>
                      </w:tcPr>
                      <w:p w14:paraId="21F390BF" w14:textId="77777777" w:rsidR="00804B20" w:rsidRPr="00804B20" w:rsidRDefault="00804B20" w:rsidP="00804B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804B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40,84%</w:t>
                        </w:r>
                      </w:p>
                    </w:tc>
                  </w:tr>
                </w:tbl>
                <w:p w14:paraId="1D8791A3" w14:textId="77777777" w:rsidR="00804B20" w:rsidRDefault="00804B20" w:rsidP="002F03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14:paraId="33B74B33" w14:textId="7E0D0651" w:rsidR="006E4B12" w:rsidRPr="002F03D1" w:rsidRDefault="006E4B12" w:rsidP="002F03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80FAB" w:rsidRPr="00D80FAB" w14:paraId="3317CB55" w14:textId="77777777" w:rsidTr="00907866">
              <w:trPr>
                <w:trHeight w:val="360"/>
              </w:trPr>
              <w:tc>
                <w:tcPr>
                  <w:tcW w:w="14461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2C5B7" w14:textId="77777777" w:rsidR="00D80FAB" w:rsidRPr="00907866" w:rsidRDefault="00D80FAB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</w:pPr>
                  <w:r w:rsidRPr="0090786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hr-HR"/>
                    </w:rPr>
                    <w:lastRenderedPageBreak/>
                    <w:t>Prihodi i rashodi prema izvorima financiranja</w:t>
                  </w:r>
                </w:p>
              </w:tc>
            </w:tr>
            <w:tr w:rsidR="00D80FAB" w:rsidRPr="00D80FAB" w14:paraId="36C05FC3" w14:textId="77777777" w:rsidTr="00907866">
              <w:trPr>
                <w:trHeight w:val="255"/>
              </w:trPr>
              <w:tc>
                <w:tcPr>
                  <w:tcW w:w="14158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D658A" w14:textId="5AF69440" w:rsidR="00D80FAB" w:rsidRDefault="00D80FAB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D80FAB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Za razdoblje od 01.01.202</w:t>
                  </w:r>
                  <w:r w:rsidR="00907866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</w:t>
                  </w:r>
                  <w:r w:rsidRPr="00D80FAB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 do 30.06.202</w:t>
                  </w:r>
                  <w:r w:rsidR="00907866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</w:t>
                  </w:r>
                  <w:r w:rsidRPr="00D80FAB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</w:t>
                  </w:r>
                </w:p>
                <w:p w14:paraId="37840712" w14:textId="77777777" w:rsidR="006F57F0" w:rsidRDefault="006F57F0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14:paraId="3ADFB375" w14:textId="77777777" w:rsidR="006F57F0" w:rsidRDefault="006F57F0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4130" w:type="dxa"/>
                    <w:tblLook w:val="04A0" w:firstRow="1" w:lastRow="0" w:firstColumn="1" w:lastColumn="0" w:noHBand="0" w:noVBand="1"/>
                  </w:tblPr>
                  <w:tblGrid>
                    <w:gridCol w:w="8026"/>
                    <w:gridCol w:w="1396"/>
                    <w:gridCol w:w="1396"/>
                    <w:gridCol w:w="1396"/>
                    <w:gridCol w:w="1014"/>
                    <w:gridCol w:w="902"/>
                  </w:tblGrid>
                  <w:tr w:rsidR="0019686C" w:rsidRPr="00C01C9F" w14:paraId="7D148CB4" w14:textId="77777777" w:rsidTr="0019686C">
                    <w:trPr>
                      <w:trHeight w:val="574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3D6867C7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bookmarkStart w:id="2" w:name="_Hlk203472579"/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 / opis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69621FAC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2024.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7465F647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Izvorni plan 2025.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06A5F81C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2025.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282BF675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 3/1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399AA764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 3/2</w:t>
                        </w:r>
                      </w:p>
                    </w:tc>
                  </w:tr>
                  <w:tr w:rsidR="0019686C" w:rsidRPr="00C01C9F" w14:paraId="1069112B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1866CC61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I RASHODI PREMA IZVORIMA FINANCIRANJA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3ABB69CC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42D698AB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3DAB9EA1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7BF15D67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75992D3A" w14:textId="7777777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</w:t>
                        </w:r>
                      </w:p>
                    </w:tc>
                  </w:tr>
                  <w:bookmarkEnd w:id="2"/>
                  <w:tr w:rsidR="0019686C" w:rsidRPr="00C01C9F" w14:paraId="6DBCD481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9C4654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 xml:space="preserve"> SVEUKUPNI PRIHODI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E6E39A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1.579.383,83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5A65B8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A11921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1.748.379,94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F1DA27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110,70%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EEDA41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38,94%</w:t>
                        </w:r>
                      </w:p>
                    </w:tc>
                  </w:tr>
                  <w:tr w:rsidR="0019686C" w:rsidRPr="00C01C9F" w14:paraId="0B194C40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031440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1. OPĆI PRIHODI I PRIMICI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D0AF75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8BF8CB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7851A1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638.242,60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847FD7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114,02%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CD38EC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30,10%</w:t>
                        </w:r>
                      </w:p>
                    </w:tc>
                  </w:tr>
                  <w:tr w:rsidR="0019686C" w:rsidRPr="00C01C9F" w14:paraId="1CD8C920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48EF2B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B022A8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27356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4392DA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638.242,60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09A1D9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114,02%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36DF83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30,10%</w:t>
                        </w:r>
                      </w:p>
                    </w:tc>
                  </w:tr>
                  <w:tr w:rsidR="00C01C9F" w:rsidRPr="00C01C9F" w14:paraId="30FD5383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A89FD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1.1.01 PRIHODI ZA FINANCIRANJE RASHODA POSLOVANJA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09AB3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F9B7D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0DA32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638.242,60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39851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114,02%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B3562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30,10%</w:t>
                        </w:r>
                      </w:p>
                    </w:tc>
                  </w:tr>
                  <w:tr w:rsidR="0019686C" w:rsidRPr="00C01C9F" w14:paraId="00C01B4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179A2A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3. VLASTITI PRIHODI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3261C73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16.394,25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C2588E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38.400,00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70253D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17.737,75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F57EED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108,19%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B73B3A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46,19%</w:t>
                        </w:r>
                      </w:p>
                    </w:tc>
                  </w:tr>
                  <w:tr w:rsidR="0019686C" w:rsidRPr="00C01C9F" w14:paraId="468FC264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4E37E8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 VLASTITI PRIHODI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7A1E6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16.394,25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5ECD8B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38.400,00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42BE0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17.737,75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D80A1F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108,19%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D2DDB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46,19%</w:t>
                        </w:r>
                      </w:p>
                    </w:tc>
                  </w:tr>
                  <w:tr w:rsidR="00C01C9F" w:rsidRPr="00C01C9F" w14:paraId="1E8DCC72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21502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3.1.25 PRIHODI OD PRUŽENIH USLUGA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0D534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16.159,37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413DA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E6647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17.701,54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A80EC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109,54%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4CC0D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46,58%</w:t>
                        </w:r>
                      </w:p>
                    </w:tc>
                  </w:tr>
                  <w:tr w:rsidR="00C01C9F" w:rsidRPr="00C01C9F" w14:paraId="4C041084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E905EF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3.1.37 PRIHODI OD KAMATA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95777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1501A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EDFD7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21EAA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336DB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0F89C322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FA836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Izvor 3.1.58 OSTALI PRIHODI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8FCC0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234,88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92F89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6AC3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36,21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19963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15,42%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4ACE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12,07%</w:t>
                        </w:r>
                      </w:p>
                    </w:tc>
                  </w:tr>
                  <w:tr w:rsidR="0019686C" w:rsidRPr="00C01C9F" w14:paraId="4278E1A1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330F9F3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5. POMOĆI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95C76E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1.002.259,67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B4A0E9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2.260.586,00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131E001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1.091.589,59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0F6080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108,91%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99E218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48,29%</w:t>
                        </w:r>
                      </w:p>
                    </w:tc>
                  </w:tr>
                  <w:tr w:rsidR="0019686C" w:rsidRPr="00C01C9F" w14:paraId="7F84B867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274BBA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 POMOĆI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3509BB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1.002.259,67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6717F7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2.260.586,00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B349C0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1.091.589,59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C5191A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108,91%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04E865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48,29%</w:t>
                        </w:r>
                      </w:p>
                    </w:tc>
                  </w:tr>
                  <w:tr w:rsidR="00C01C9F" w:rsidRPr="00C01C9F" w14:paraId="3C560F96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A350D7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5.1.04 DECENTRALIZIRANA SREDSTVA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6100A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655.538,31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3CC0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1.311.286,00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6366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655.529,59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B2DB4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93DB6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49,99%</w:t>
                        </w:r>
                      </w:p>
                    </w:tc>
                  </w:tr>
                  <w:tr w:rsidR="00C01C9F" w:rsidRPr="00C01C9F" w14:paraId="7610C82F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A0B44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5.1.17 TEKUĆE POMOĆI IZ GRAD.PR.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31BA6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72.322,18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C8BF6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170.301,00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62F4C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91.692,00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548E5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126,78%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6888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53,84%</w:t>
                        </w:r>
                      </w:p>
                    </w:tc>
                  </w:tr>
                  <w:tr w:rsidR="00C01C9F" w:rsidRPr="00C01C9F" w14:paraId="1AF1F3B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DC99C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5.1.19 TEKUĆE POMOĆI IZ OPĆ.PR.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05288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274.399,18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EFF7B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643.999,00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FFF8C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344.368,00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F8ED7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125,50%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BA1CD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53,47%</w:t>
                        </w:r>
                      </w:p>
                    </w:tc>
                  </w:tr>
                  <w:tr w:rsidR="00C01C9F" w:rsidRPr="00C01C9F" w14:paraId="7DAB1198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1FC4D7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5.1.288 POMOĆI IZ ŽUPANIJE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CF54A2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EE8D3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135.000,00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AD347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C2112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188B7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01996437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6CEEB5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6. DONACIJE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B27D4B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217E4A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19AB4D1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BB9E37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162,00%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5574FB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1,16%</w:t>
                        </w:r>
                      </w:p>
                    </w:tc>
                  </w:tr>
                  <w:tr w:rsidR="0019686C" w:rsidRPr="00C01C9F" w14:paraId="520A205A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4A651D1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 DONACIJE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B9DB5D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C55C24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10C3C4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D72032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162,00%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9EFDD5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1,16%</w:t>
                        </w:r>
                      </w:p>
                    </w:tc>
                  </w:tr>
                  <w:tr w:rsidR="00C01C9F" w:rsidRPr="00C01C9F" w14:paraId="697B21E4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87F1D0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6.1.35 DONACIJE OD PODRUČ.VATROGASNE ZAJED.ZA JVP-SEZ.GASITELJI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549F97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7B345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53.000,00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93578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90B34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3B56B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2EC15FBB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D01FA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6.1.37 DONACIJE OD VATROGASNE ZAJED.IŽ ZA JVP-SEZ.GASITELJI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5A9B10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FB8F6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B92D0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01FBE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299EE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494813A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8246A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Izvor 6.1.40 DONACIJE JVP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DE281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B52B5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C5D6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A920F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162,00%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62CC6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19714090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D27137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7. PRIHODI OD PRODAJE ILI ZAMJ.NEF. IMOVINE I NAK.S NAS.OSIG.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F2354C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977991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C385EB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9978DF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462F237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0935CEA8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8C69919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7.1. PRIHODI OD PRODAJE ILI ZAMJ.NEF.IMOVINE I NAKN.S NAS.OSIG.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5EC242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2F34D93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97E116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46DC6D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272626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3777D05B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45B03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7.1.31 PRIHODI OD NAKNADA ŠTETA S OSNOVA OSIGURANJA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85F5C3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2144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40CAD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B2C5C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59CF7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657F7270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8116A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7.1.45 PRIHODI OD PRODAJE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4E546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09413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18E67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4DBE9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95879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07EB79C6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56109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C6A1B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3763F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02DD2F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EC47D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8CCEEE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C01C9F" w:rsidRPr="00C01C9F" w14:paraId="011994B4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8B1D7A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9A9F2D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D6C4A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5440A20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E45290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E446668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C01C9F" w:rsidRPr="00C01C9F" w14:paraId="43135815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039AB4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F6B9F9A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ED69941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9C2494E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D82DE05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08C57D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C01C9F" w:rsidRPr="00C01C9F" w14:paraId="34FA7793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29AC6434" w14:textId="30FD0BF8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lastRenderedPageBreak/>
                          <w:t>Račun / opis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558CE459" w14:textId="76C10879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2024.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192112C9" w14:textId="666F12ED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Izvorni plan 2025.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24DA6471" w14:textId="4E35E96F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Izvršenje 2025.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694BF819" w14:textId="05493147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 3/1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2279C800" w14:textId="63F41E1F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Indeks  3/2</w:t>
                        </w:r>
                      </w:p>
                    </w:tc>
                  </w:tr>
                  <w:tr w:rsidR="00C01C9F" w:rsidRPr="00C01C9F" w14:paraId="0592B5D2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70812D4F" w14:textId="27348758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I RASHODI PREMA IZVORIMA FINANCIRANJA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26B4124F" w14:textId="25390D04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652F15AC" w14:textId="18B52853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5A5F516F" w14:textId="78D8B1C5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15C3E306" w14:textId="2C28C68F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0C0C0"/>
                        <w:noWrap/>
                        <w:vAlign w:val="bottom"/>
                      </w:tcPr>
                      <w:p w14:paraId="16E90C8A" w14:textId="33561652" w:rsidR="00C01C9F" w:rsidRPr="00C01C9F" w:rsidRDefault="00C01C9F" w:rsidP="00C01C9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</w:t>
                        </w:r>
                      </w:p>
                    </w:tc>
                  </w:tr>
                  <w:tr w:rsidR="0019686C" w:rsidRPr="00C01C9F" w14:paraId="4AAA7B51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FAB576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 xml:space="preserve"> SVEUKUPNI RASHODI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B44E64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1.535.469,60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3D43264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4.490.000,00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5421697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1.833.581,81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0D88A2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119,42%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E388DF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40,84%</w:t>
                        </w:r>
                      </w:p>
                    </w:tc>
                  </w:tr>
                  <w:tr w:rsidR="0019686C" w:rsidRPr="00C01C9F" w14:paraId="6A107CB6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949BCAE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1. OPĆI PRIHODI I PRIMICI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CD8020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35D3985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1187555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803.682,32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FE18C0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143,57%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AC59C7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37,90%</w:t>
                        </w:r>
                      </w:p>
                    </w:tc>
                  </w:tr>
                  <w:tr w:rsidR="0019686C" w:rsidRPr="00C01C9F" w14:paraId="2AE07E5B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158D3926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5D610E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053BDF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7ACA31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803.682,32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4F8D5A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143,57%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929925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37,90%</w:t>
                        </w:r>
                      </w:p>
                    </w:tc>
                  </w:tr>
                  <w:tr w:rsidR="00C01C9F" w:rsidRPr="00C01C9F" w14:paraId="7C9D260F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5C45F9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1.1.01 PRIHODI ZA FINANCIRANJE RASHODA POSLOVANJA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F51DE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559.779,91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89D6F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2.120.714,00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091DD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803.682,32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CBC0D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143,57%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B0CC5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37,90%</w:t>
                        </w:r>
                      </w:p>
                    </w:tc>
                  </w:tr>
                  <w:tr w:rsidR="0019686C" w:rsidRPr="00C01C9F" w14:paraId="2720D337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33CA0D9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3. VLASTITI PRIHODI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977B19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14.204,66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FE5E5D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38.400,00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1AF7B7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15.912,19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41F6E1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112,02%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4CEA87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41,44%</w:t>
                        </w:r>
                      </w:p>
                    </w:tc>
                  </w:tr>
                  <w:tr w:rsidR="0019686C" w:rsidRPr="00C01C9F" w14:paraId="2E906DD3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153A87E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 VLASTITI PRIHODI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173B67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14.204,66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F2D265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38.400,00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224A95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15.912,19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381C22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112,02%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4013D1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41,44%</w:t>
                        </w:r>
                      </w:p>
                    </w:tc>
                  </w:tr>
                  <w:tr w:rsidR="00C01C9F" w:rsidRPr="00C01C9F" w14:paraId="170F968A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D1F76A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3.1.25 PRIHODI OD PRUŽENIH USLUGA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0D8D7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14.204,66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F85D0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14BC3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15.912,19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8657E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112,02%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E85B9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41,87%</w:t>
                        </w:r>
                      </w:p>
                    </w:tc>
                  </w:tr>
                  <w:tr w:rsidR="00C01C9F" w:rsidRPr="00C01C9F" w14:paraId="1D58C6D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0EF350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3.1.37 PRIHODI OD KAMATA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99335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53139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3DEF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2DE31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6E44F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3DF5C0E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D123C2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Izvor 3.1.58 OSTALI PRIHODI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55BAC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EAE39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B0C5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84A38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81F73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4286D603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17F692DF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5. POMOĆI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96D41E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959.985,03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1F85893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2.260.586,00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0EED8F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1.013.177,30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4605E2C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105,54%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6AD9D9D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44,82%</w:t>
                        </w:r>
                      </w:p>
                    </w:tc>
                  </w:tr>
                  <w:tr w:rsidR="0019686C" w:rsidRPr="00C01C9F" w14:paraId="6283E4CA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9CD00E3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 POMOĆI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A7EF7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959.985,03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D9A6A6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2.260.586,00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67F0671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1.013.177,30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CAF418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105,54%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A72D5E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44,82%</w:t>
                        </w:r>
                      </w:p>
                    </w:tc>
                  </w:tr>
                  <w:tr w:rsidR="00C01C9F" w:rsidRPr="00C01C9F" w14:paraId="37FB4D11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ED013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5.1.04 DECENTRALIZIRANA SREDSTVA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552B3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655.538,31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66F34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1.311.286,00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8EF98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655.529,59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068B2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42C7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49,99%</w:t>
                        </w:r>
                      </w:p>
                    </w:tc>
                  </w:tr>
                  <w:tr w:rsidR="00C01C9F" w:rsidRPr="00C01C9F" w14:paraId="744F7AE8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84B9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5.1.17 TEKUĆE POMOĆI IZ GRAD.PR.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0986A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52.911,90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7E71A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170.301,00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DA0E9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70.169,08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6EC6A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132,61%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C7713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41,20%</w:t>
                        </w:r>
                      </w:p>
                    </w:tc>
                  </w:tr>
                  <w:tr w:rsidR="00C01C9F" w:rsidRPr="00C01C9F" w14:paraId="4BF105A8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2AFB83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5.1.185 POMOĆI IZDRŽAVNOG PRORAČUNA-VIŠAK KORISNICI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FF935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57.638,13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C4B77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BF2CE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2B014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DD96DA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09D6AC3D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72DD69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5.1.19 TEKUĆE POMOĆI IZ OPĆ.PR.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A50E1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193.896,69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1B49D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643.999,00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EDD9F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287.478,63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CF863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148,26%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5CA94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44,64%</w:t>
                        </w:r>
                      </w:p>
                    </w:tc>
                  </w:tr>
                  <w:tr w:rsidR="00C01C9F" w:rsidRPr="00C01C9F" w14:paraId="58211CAD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9A507E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5.1.288 POMOĆI IZ ŽUPANIJE ZA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0EAB52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CF2F7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135.000,00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5C0D4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75D64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AA1CD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62980666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955F803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6. DONACIJE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4218326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3553674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BAEB76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8BFFB9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54,00%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823704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1,16%</w:t>
                        </w:r>
                      </w:p>
                    </w:tc>
                  </w:tr>
                  <w:tr w:rsidR="0019686C" w:rsidRPr="00C01C9F" w14:paraId="27D2C2F9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7D3A5B61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 DONACIJE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2D0A0C2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8B40A8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70.000,00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E04543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71F181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54,00%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EEC3C5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1,16%</w:t>
                        </w:r>
                      </w:p>
                    </w:tc>
                  </w:tr>
                  <w:tr w:rsidR="00C01C9F" w:rsidRPr="00C01C9F" w14:paraId="0F37AE30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8E923D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6.1.35 DONACIJE OD PODRUČ.VATROGASNE ZAJED.ZA JVP-SEZ.GASITELJI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8D087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9F8E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53.000,00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1E503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F844D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74E310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3B745DCC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2224F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6.1.37 DONACIJE OD VATROGASNE ZAJED.IŽ ZA JVP-SEZ.GASITELJI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F0835A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EBDDF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AE8D5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71292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45BD1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76398887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F1C4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Izvor 6.1.40 DONACIJE JVP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2D6A7F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5B70B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FFE98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ADEF9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162,00%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CCC1F5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58D2B46B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37898C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6.1.41 DONACIJE-VIŠAK KORISNICI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A485E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B25BD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7A2E4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4E5E91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8EB56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63F13AF8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266051F4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Izvor 7. PRIHODI OD PRODAJE ILI ZAMJ.NEF. IMOVINE I NAK.S NAS.OSIG.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834B26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 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78AC7B5E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0C05CB93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555F74C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  <w:hideMark/>
                      </w:tcPr>
                      <w:p w14:paraId="4A100734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19686C" w:rsidRPr="00C01C9F" w14:paraId="46232AAD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8701735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7.1. PRIHODI OD PRODAJE ILI ZAMJ.NEF.IMOVINE I NAKN.S NAS.OSIG.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3F37214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 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410540A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018EB4B8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AB7AD17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14:paraId="537838AD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  <w:tr w:rsidR="00C01C9F" w:rsidRPr="00C01C9F" w14:paraId="6316158A" w14:textId="77777777" w:rsidTr="0019686C">
                    <w:trPr>
                      <w:trHeight w:val="256"/>
                    </w:trPr>
                    <w:tc>
                      <w:tcPr>
                        <w:tcW w:w="8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2902EB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Izvor 7.1.31 PRIHODI OD NAKNADA ŠTETA S OSNOVA OSIGURANJA JVP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61C392" w14:textId="77777777" w:rsidR="00C01C9F" w:rsidRPr="00C01C9F" w:rsidRDefault="00C01C9F" w:rsidP="00C01C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98757B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FC76C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F26EF9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982026" w14:textId="77777777" w:rsidR="00C01C9F" w:rsidRPr="00C01C9F" w:rsidRDefault="00C01C9F" w:rsidP="00C01C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C01C9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0,00%</w:t>
                        </w:r>
                      </w:p>
                    </w:tc>
                  </w:tr>
                </w:tbl>
                <w:p w14:paraId="082CAC9A" w14:textId="77777777" w:rsidR="006F57F0" w:rsidRDefault="006F57F0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14:paraId="52E5CB41" w14:textId="77777777" w:rsidR="00207C36" w:rsidRDefault="00207C36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3942" w:type="dxa"/>
                    <w:tblLook w:val="04A0" w:firstRow="1" w:lastRow="0" w:firstColumn="1" w:lastColumn="0" w:noHBand="0" w:noVBand="1"/>
                  </w:tblPr>
                  <w:tblGrid>
                    <w:gridCol w:w="7570"/>
                    <w:gridCol w:w="1417"/>
                    <w:gridCol w:w="1418"/>
                    <w:gridCol w:w="1417"/>
                    <w:gridCol w:w="1134"/>
                    <w:gridCol w:w="986"/>
                  </w:tblGrid>
                  <w:tr w:rsidR="00907866" w:rsidRPr="002943AB" w14:paraId="4A9AB806" w14:textId="77777777" w:rsidTr="00907866">
                    <w:trPr>
                      <w:trHeight w:val="255"/>
                    </w:trPr>
                    <w:tc>
                      <w:tcPr>
                        <w:tcW w:w="7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D84FDA" w14:textId="77777777" w:rsidR="002943AB" w:rsidRPr="002943AB" w:rsidRDefault="002943AB" w:rsidP="002943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7C1F76" w14:textId="77777777" w:rsidR="002943AB" w:rsidRPr="002943AB" w:rsidRDefault="002943AB" w:rsidP="00294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CFAD5C" w14:textId="77777777" w:rsidR="002943AB" w:rsidRPr="002943AB" w:rsidRDefault="002943AB" w:rsidP="00294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3A84CE" w14:textId="77777777" w:rsidR="002943AB" w:rsidRPr="002943AB" w:rsidRDefault="002943AB" w:rsidP="00294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059945" w14:textId="77777777" w:rsidR="002943AB" w:rsidRPr="002943AB" w:rsidRDefault="002943AB" w:rsidP="00294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D5BC04" w14:textId="77777777" w:rsidR="002943AB" w:rsidRPr="002943AB" w:rsidRDefault="002943AB" w:rsidP="00294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</w:tbl>
                <w:p w14:paraId="2C0E62F1" w14:textId="77777777" w:rsidR="00207C36" w:rsidRDefault="00207C36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  <w:p w14:paraId="32E04B27" w14:textId="77777777" w:rsidR="00207C36" w:rsidRPr="00D80FAB" w:rsidRDefault="00207C36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FF7C0" w14:textId="77777777" w:rsidR="00D80FAB" w:rsidRPr="00D80FAB" w:rsidRDefault="00D80FAB" w:rsidP="00D80F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80FAB" w:rsidRPr="00D80FAB" w14:paraId="50BB968A" w14:textId="77777777" w:rsidTr="00907866">
              <w:trPr>
                <w:trHeight w:val="255"/>
              </w:trPr>
              <w:tc>
                <w:tcPr>
                  <w:tcW w:w="14158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67B9B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0B2E4" w14:textId="77777777" w:rsidR="00D80FAB" w:rsidRPr="00D80FAB" w:rsidRDefault="00D80FAB" w:rsidP="00D80F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07C36" w:rsidRPr="00D80FAB" w14:paraId="6F86A24D" w14:textId="77777777" w:rsidTr="00907866">
              <w:trPr>
                <w:trHeight w:val="255"/>
              </w:trPr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B1170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8BF58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15BA6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65D07C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C1572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F5536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4C533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DF211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C6D64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D486F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07928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4BB2A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D1D9C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5E455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5519E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8F1D7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29DF8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31D45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80FAB" w:rsidRPr="00D80FAB" w14:paraId="709F641D" w14:textId="77777777" w:rsidTr="00907866">
              <w:trPr>
                <w:trHeight w:val="255"/>
              </w:trPr>
              <w:tc>
                <w:tcPr>
                  <w:tcW w:w="724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55B03" w14:textId="77777777" w:rsidR="00D80FAB" w:rsidRPr="00D80FAB" w:rsidRDefault="00D80FAB" w:rsidP="00D80F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150B0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15E88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46523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8F8D6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EECCD" w14:textId="77777777" w:rsidR="00D80FAB" w:rsidRPr="00D80FAB" w:rsidRDefault="00D80FAB" w:rsidP="00D80F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769D7EF5" w14:textId="5BEE33A2" w:rsidR="004278AD" w:rsidRPr="004278AD" w:rsidRDefault="004278AD" w:rsidP="006B7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647C" w14:textId="77777777" w:rsidR="004278AD" w:rsidRPr="004278AD" w:rsidRDefault="004278AD" w:rsidP="0042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96AE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C71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1C9D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A66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351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25C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A54A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AE65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077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0507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152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BDF8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25E" w14:textId="77777777" w:rsidR="004278AD" w:rsidRPr="004278AD" w:rsidRDefault="004278AD" w:rsidP="004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734DB46" w14:textId="2538BB51" w:rsidR="00054E53" w:rsidRDefault="00054E53">
      <w:pPr>
        <w:sectPr w:rsidR="00054E53" w:rsidSect="0077733B">
          <w:pgSz w:w="16838" w:h="11906" w:orient="landscape"/>
          <w:pgMar w:top="1418" w:right="1418" w:bottom="1361" w:left="1418" w:header="709" w:footer="709" w:gutter="0"/>
          <w:cols w:space="708"/>
          <w:docGrid w:linePitch="360"/>
        </w:sectPr>
      </w:pPr>
    </w:p>
    <w:tbl>
      <w:tblPr>
        <w:tblW w:w="9841" w:type="dxa"/>
        <w:tblLook w:val="04A0" w:firstRow="1" w:lastRow="0" w:firstColumn="1" w:lastColumn="0" w:noHBand="0" w:noVBand="1"/>
      </w:tblPr>
      <w:tblGrid>
        <w:gridCol w:w="4673"/>
        <w:gridCol w:w="1210"/>
        <w:gridCol w:w="1110"/>
        <w:gridCol w:w="1152"/>
        <w:gridCol w:w="850"/>
        <w:gridCol w:w="850"/>
      </w:tblGrid>
      <w:tr w:rsidR="00025BF6" w:rsidRPr="00025BF6" w14:paraId="1299BD24" w14:textId="77777777" w:rsidTr="00025BF6">
        <w:trPr>
          <w:trHeight w:val="360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B7D7B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lastRenderedPageBreak/>
              <w:t>Račun financiranja prema ekonomskoj klasifikaciji</w:t>
            </w:r>
          </w:p>
        </w:tc>
      </w:tr>
      <w:tr w:rsidR="00025BF6" w:rsidRPr="00025BF6" w14:paraId="3E2CFA23" w14:textId="77777777" w:rsidTr="00025BF6">
        <w:trPr>
          <w:trHeight w:val="255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BF4F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01.01.2025. do 30.06.2025.</w:t>
            </w:r>
          </w:p>
        </w:tc>
      </w:tr>
      <w:tr w:rsidR="00025BF6" w:rsidRPr="00025BF6" w14:paraId="2D5D8D4B" w14:textId="77777777" w:rsidTr="00025BF6">
        <w:trPr>
          <w:trHeight w:val="255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4F2A5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25BF6" w:rsidRPr="00025BF6" w14:paraId="66A5EC0F" w14:textId="77777777" w:rsidTr="00025BF6">
        <w:trPr>
          <w:trHeight w:val="66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02388E" w14:textId="46D97EFC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</w:t>
            </w: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un/Opis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5409645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D1CA7A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0519C5E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5E860F1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EDBF07E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025BF6" w:rsidRPr="00025BF6" w14:paraId="2F2001E6" w14:textId="77777777" w:rsidTr="00025BF6">
        <w:trPr>
          <w:trHeight w:val="25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5DF6EF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D6EF7C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E5EE3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7AE116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19F2CA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841B81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025BF6" w:rsidRPr="00025BF6" w14:paraId="36E9343C" w14:textId="77777777" w:rsidTr="00025BF6">
        <w:trPr>
          <w:trHeight w:val="25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F5ACD1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F3CD14" w14:textId="77777777" w:rsidR="00025BF6" w:rsidRPr="00025BF6" w:rsidRDefault="00025BF6" w:rsidP="00025B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0F5B8D" w14:textId="77777777" w:rsidR="00025BF6" w:rsidRPr="00025BF6" w:rsidRDefault="00025BF6" w:rsidP="00025B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37D72F" w14:textId="77777777" w:rsidR="00025BF6" w:rsidRPr="00025BF6" w:rsidRDefault="00025BF6" w:rsidP="00025B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47114B" w14:textId="77777777" w:rsidR="00025BF6" w:rsidRPr="00025BF6" w:rsidRDefault="00025BF6" w:rsidP="00025B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6F67AC" w14:textId="77777777" w:rsidR="00025BF6" w:rsidRPr="00025BF6" w:rsidRDefault="00025BF6" w:rsidP="00025B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33133787" w14:textId="77777777" w:rsidR="00521A83" w:rsidRDefault="00521A83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D7B1536" w14:textId="77777777" w:rsidR="00521A83" w:rsidRDefault="00521A83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36B5E632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tbl>
      <w:tblPr>
        <w:tblW w:w="10042" w:type="dxa"/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6"/>
        <w:gridCol w:w="659"/>
        <w:gridCol w:w="660"/>
        <w:gridCol w:w="659"/>
        <w:gridCol w:w="660"/>
        <w:gridCol w:w="659"/>
        <w:gridCol w:w="660"/>
        <w:gridCol w:w="659"/>
        <w:gridCol w:w="445"/>
        <w:gridCol w:w="854"/>
        <w:gridCol w:w="21"/>
        <w:gridCol w:w="294"/>
      </w:tblGrid>
      <w:tr w:rsidR="00025BF6" w:rsidRPr="00025BF6" w14:paraId="6D8BC93D" w14:textId="77777777" w:rsidTr="00025BF6">
        <w:trPr>
          <w:trHeight w:val="338"/>
        </w:trPr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BCFE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>Račun financiranja prema izvorima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23584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025BF6" w:rsidRPr="00025BF6" w14:paraId="4FC44C4B" w14:textId="77777777" w:rsidTr="00025BF6">
        <w:trPr>
          <w:trHeight w:val="240"/>
        </w:trPr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42385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01.01.2025. do 30.06.2025.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709E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25BF6" w:rsidRPr="00025BF6" w14:paraId="323500C5" w14:textId="77777777" w:rsidTr="00025BF6">
        <w:trPr>
          <w:trHeight w:val="240"/>
        </w:trPr>
        <w:tc>
          <w:tcPr>
            <w:tcW w:w="98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FAC7E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9300B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25BF6" w:rsidRPr="00025BF6" w14:paraId="70C9FDA4" w14:textId="77777777" w:rsidTr="00025BF6">
        <w:trPr>
          <w:trHeight w:val="24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B5930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5530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5E89B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57CD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36F9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F70D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18CA8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E830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16D81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AF47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B0038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464DA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A003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825D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5E188" w14:textId="77777777" w:rsidR="00025BF6" w:rsidRPr="00025BF6" w:rsidRDefault="00025BF6" w:rsidP="00025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25BF6" w:rsidRPr="00025BF6" w14:paraId="234E505D" w14:textId="77777777" w:rsidTr="00025BF6">
        <w:trPr>
          <w:gridAfter w:val="2"/>
          <w:wAfter w:w="257" w:type="dxa"/>
          <w:trHeight w:val="691"/>
        </w:trPr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146841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F039D6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E7B7BD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7807DD7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7687314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D13952A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025BF6" w:rsidRPr="00025BF6" w14:paraId="1FE12EED" w14:textId="77777777" w:rsidTr="00025BF6">
        <w:trPr>
          <w:gridAfter w:val="2"/>
          <w:wAfter w:w="257" w:type="dxa"/>
          <w:trHeight w:val="282"/>
        </w:trPr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6DCD0A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5FB687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EA0DDE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22D9AA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050455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8405D8" w14:textId="77777777" w:rsidR="00025BF6" w:rsidRPr="00025BF6" w:rsidRDefault="00025BF6" w:rsidP="0002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5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</w:tbl>
    <w:p w14:paraId="435DBBDD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BF802F0" w14:textId="104BE4EC" w:rsidR="00521A83" w:rsidRPr="00895725" w:rsidRDefault="00895725" w:rsidP="0089572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957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JVP Pula  nema primitaka od financijske imovine i zaduživanja niti izdataka za financijsku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im</w:t>
      </w:r>
      <w:r w:rsidRPr="008957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ovinu.</w:t>
      </w:r>
    </w:p>
    <w:p w14:paraId="4F5B2DF7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7FC6CC3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80074D1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8FD5A3C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002E7E6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D398D80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635FACF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B28B407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118DECF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6320B4DF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1E973C85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3F9F4347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5425692" w14:textId="77777777" w:rsidR="00025BF6" w:rsidRDefault="00025BF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611D6A4" w14:textId="65E98DF6" w:rsidR="00864176" w:rsidRPr="005F6541" w:rsidRDefault="00864176" w:rsidP="008641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lastRenderedPageBreak/>
        <w:t>I</w:t>
      </w:r>
      <w:r w:rsidRPr="005F654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POSEBNI </w:t>
      </w:r>
      <w:r w:rsidRPr="005F654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DIO </w:t>
      </w:r>
      <w:r w:rsidR="002047A0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POLUGODIŠNJEG IZVJEŠTAJA</w:t>
      </w:r>
    </w:p>
    <w:p w14:paraId="607A06D5" w14:textId="77777777" w:rsidR="00BD0E25" w:rsidRPr="00BD0E25" w:rsidRDefault="00BD0E25" w:rsidP="00BD0E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727CDCC" w14:textId="09247BB0" w:rsidR="00BD0E25" w:rsidRPr="00BD0E25" w:rsidRDefault="00BD0E25" w:rsidP="006B7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rashoda i izdataka u iznosu od </w:t>
      </w:r>
      <w:r w:rsidR="000F6FE8"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</w:t>
      </w:r>
      <w:r w:rsidR="00E66E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833</w:t>
      </w:r>
      <w:r w:rsidR="0026670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E66E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581,81</w:t>
      </w:r>
      <w:r w:rsidR="000F6FE8"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047A0"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iskazano </w:t>
      </w:r>
      <w:r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 izvorima financiranja i ekonomskoj klasifikaciji, raspoređeno po aktivnostima</w:t>
      </w:r>
      <w:r w:rsidR="006412C3"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unutar program</w:t>
      </w:r>
      <w:r w:rsidR="002047A0" w:rsidRPr="006B7D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2047A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412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Organiziranje i provođenje zaštite i spašavanja</w:t>
      </w:r>
      <w:r w:rsidRPr="00BD0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6412C3" w:rsidRPr="00BD0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prikazano je </w:t>
      </w:r>
      <w:r w:rsidRPr="00BD0E25">
        <w:rPr>
          <w:rFonts w:ascii="Times New Roman" w:eastAsia="Times New Roman" w:hAnsi="Times New Roman" w:cs="Times New Roman"/>
          <w:sz w:val="24"/>
          <w:szCs w:val="24"/>
          <w:lang w:eastAsia="hr-HR"/>
        </w:rPr>
        <w:t>u sljedeć</w:t>
      </w:r>
      <w:r w:rsidR="006412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Pr="00BD0E25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</w:t>
      </w:r>
      <w:r w:rsidR="006412C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D0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D3AFE27" w14:textId="0B351B14" w:rsidR="00CF6855" w:rsidRDefault="00CF6855"/>
    <w:tbl>
      <w:tblPr>
        <w:tblW w:w="9736" w:type="dxa"/>
        <w:tblLook w:val="04A0" w:firstRow="1" w:lastRow="0" w:firstColumn="1" w:lastColumn="0" w:noHBand="0" w:noVBand="1"/>
      </w:tblPr>
      <w:tblGrid>
        <w:gridCol w:w="765"/>
        <w:gridCol w:w="764"/>
        <w:gridCol w:w="764"/>
        <w:gridCol w:w="763"/>
        <w:gridCol w:w="755"/>
        <w:gridCol w:w="746"/>
        <w:gridCol w:w="739"/>
        <w:gridCol w:w="734"/>
        <w:gridCol w:w="656"/>
        <w:gridCol w:w="656"/>
        <w:gridCol w:w="656"/>
        <w:gridCol w:w="656"/>
        <w:gridCol w:w="656"/>
        <w:gridCol w:w="656"/>
      </w:tblGrid>
      <w:tr w:rsidR="000D21BE" w:rsidRPr="000D21BE" w14:paraId="3954A637" w14:textId="77777777" w:rsidTr="0014776A">
        <w:trPr>
          <w:trHeight w:val="360"/>
        </w:trPr>
        <w:tc>
          <w:tcPr>
            <w:tcW w:w="9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777" w14:textId="77777777" w:rsidR="000D21BE" w:rsidRPr="000D21BE" w:rsidRDefault="000D21BE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  <w:r w:rsidRPr="000D21BE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>Izvršenje po programskoj klasifikaciji</w:t>
            </w:r>
          </w:p>
        </w:tc>
      </w:tr>
      <w:tr w:rsidR="000D21BE" w:rsidRPr="000D21BE" w14:paraId="6D4451FA" w14:textId="77777777" w:rsidTr="0014776A">
        <w:trPr>
          <w:trHeight w:val="255"/>
        </w:trPr>
        <w:tc>
          <w:tcPr>
            <w:tcW w:w="9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2A9A" w14:textId="1E086833" w:rsidR="000D21BE" w:rsidRDefault="000D21BE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21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</w:t>
            </w:r>
            <w:r w:rsidR="000A65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D21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do 30.06.202</w:t>
            </w:r>
            <w:r w:rsidR="000A65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0D21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5A131ED1" w14:textId="77777777" w:rsidR="000A65C6" w:rsidRDefault="000A65C6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9749" w:type="dxa"/>
              <w:tblLook w:val="04A0" w:firstRow="1" w:lastRow="0" w:firstColumn="1" w:lastColumn="0" w:noHBand="0" w:noVBand="1"/>
            </w:tblPr>
            <w:tblGrid>
              <w:gridCol w:w="775"/>
              <w:gridCol w:w="774"/>
              <w:gridCol w:w="858"/>
              <w:gridCol w:w="857"/>
              <w:gridCol w:w="856"/>
              <w:gridCol w:w="856"/>
              <w:gridCol w:w="856"/>
              <w:gridCol w:w="856"/>
              <w:gridCol w:w="1151"/>
              <w:gridCol w:w="1151"/>
              <w:gridCol w:w="759"/>
            </w:tblGrid>
            <w:tr w:rsidR="000A65C6" w:rsidRPr="000A65C6" w14:paraId="79FBBD79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27A52E5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Organizacijska klasifikacija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9CAF842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4AA2A004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BE1A174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A65C6" w:rsidRPr="000A65C6" w14:paraId="1B68D82C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49A0BF18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Izvori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6CFEA8A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1657C68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D629E8A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A65C6" w:rsidRPr="000A65C6" w14:paraId="4033289E" w14:textId="77777777" w:rsidTr="00025BF6">
              <w:trPr>
                <w:trHeight w:val="450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039C0C4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Projekt/Aktivnost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2A4DC31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VRSTA RASHODA I IZDATAKA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vAlign w:val="bottom"/>
                  <w:hideMark/>
                </w:tcPr>
                <w:p w14:paraId="69A03E75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Izvorni plan 2025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vAlign w:val="bottom"/>
                  <w:hideMark/>
                </w:tcPr>
                <w:p w14:paraId="4388F59B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vAlign w:val="bottom"/>
                  <w:hideMark/>
                </w:tcPr>
                <w:p w14:paraId="784312BF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2/1</w:t>
                  </w:r>
                </w:p>
              </w:tc>
            </w:tr>
            <w:tr w:rsidR="000A65C6" w:rsidRPr="000A65C6" w14:paraId="4401BDAE" w14:textId="77777777" w:rsidTr="00025BF6">
              <w:trPr>
                <w:trHeight w:val="25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5A9F95D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4D00E98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1CCCC4B2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6A2B495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AF6A2C0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42CE8BDF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8D8C7FA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F7C6CC0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63650506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57E9A03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4E72EF8" w14:textId="77777777" w:rsidR="000A65C6" w:rsidRPr="000A65C6" w:rsidRDefault="000A65C6" w:rsidP="000A65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</w:tr>
            <w:tr w:rsidR="000A65C6" w:rsidRPr="000A65C6" w14:paraId="4AF16C54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1D69108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UKUPNO RASHODI I IZDATCI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F86AB0F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C5D3F69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056546B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0A65C6" w:rsidRPr="000A65C6" w14:paraId="41EF4D7B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2AD5BC17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RAZDJEL 200 UPRAVNI ODJEL ZA LOKALNU I MJESNU SAMOUPRAVU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649D9592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0C7FEC5E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229B7BF6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0A65C6" w:rsidRPr="000A65C6" w14:paraId="504600B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147C3B9B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GLAVA 20004 JAVNA VATROGASNA POSTROJBA PULA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7D076D91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21033FB9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14B0735A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0A65C6" w:rsidRPr="000A65C6" w14:paraId="264C29CE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2895343C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PROR. KORISNIK 34848 JAVNA VATROGASNA POSTROJBA PULA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7F01A288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7CC53935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99FF"/>
                  <w:noWrap/>
                  <w:vAlign w:val="bottom"/>
                  <w:hideMark/>
                </w:tcPr>
                <w:p w14:paraId="3530A58F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0A65C6" w:rsidRPr="000A65C6" w14:paraId="1F089AB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2EC88EB" w14:textId="77777777" w:rsidR="000A65C6" w:rsidRPr="000A65C6" w:rsidRDefault="000A65C6" w:rsidP="000A65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74D8B57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2.120.714,00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4E77EFE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FFFAFD0" w14:textId="77777777" w:rsidR="000A65C6" w:rsidRPr="000A65C6" w:rsidRDefault="000A65C6" w:rsidP="000A65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37,90%</w:t>
                  </w:r>
                </w:p>
              </w:tc>
            </w:tr>
            <w:tr w:rsidR="00841331" w:rsidRPr="000A65C6" w14:paraId="4383B15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23155D3" w14:textId="23071E7E" w:rsidR="00841331" w:rsidRPr="00841331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1.</w:t>
                  </w: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69B663FB" w14:textId="59025441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2.120.714,00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526766B" w14:textId="49672019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F999F5D" w14:textId="14473ACC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37,90%</w:t>
                  </w:r>
                </w:p>
              </w:tc>
            </w:tr>
            <w:tr w:rsidR="00841331" w:rsidRPr="000A65C6" w14:paraId="69A0CA9B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8249515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1.1.01 PRIHODI ZA FINANCIRANJE RASHODA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E78135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2.120.714,00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F8B63E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184403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37,90%</w:t>
                  </w:r>
                </w:p>
              </w:tc>
            </w:tr>
            <w:tr w:rsidR="00841331" w:rsidRPr="000A65C6" w14:paraId="2DFFDF16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8899ED5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3. VLASTITI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29F3B41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38.400,00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1B0F958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D5A587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41,44%</w:t>
                  </w:r>
                </w:p>
              </w:tc>
            </w:tr>
            <w:tr w:rsidR="00841331" w:rsidRPr="000A65C6" w14:paraId="0E4C37CC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F7D8027" w14:textId="58F420B3" w:rsidR="00841331" w:rsidRPr="00841331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3.</w:t>
                  </w: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 VLASTITI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CAA1B28" w14:textId="11436295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38.400,00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4E08FD9" w14:textId="6129AF04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5FB21CC" w14:textId="172C11D5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41,44%</w:t>
                  </w:r>
                </w:p>
              </w:tc>
            </w:tr>
            <w:tr w:rsidR="00841331" w:rsidRPr="000A65C6" w14:paraId="3CBC4B61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C1E2862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3.1.25 PRIHODI OD PRUŽENIH USLUGA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C0005D4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38.000,00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7EC61C4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26F8E8A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41,87%</w:t>
                  </w:r>
                </w:p>
              </w:tc>
            </w:tr>
            <w:tr w:rsidR="00841331" w:rsidRPr="000A65C6" w14:paraId="3E77C932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EA49CD6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3.1.37 PRIHODI OD KAMATA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C2173FE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A6B9E3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DA217C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107F6F2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46E6613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Izvor 3.1.58 OSTALI PRIHODI 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A4E916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32C5C6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7E2BD28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1AE8FBB1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3D86A9D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07EC009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2.260.586,00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999D92F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1.013.177,30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E2DB797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44,82%</w:t>
                  </w:r>
                </w:p>
              </w:tc>
            </w:tr>
            <w:tr w:rsidR="00841331" w:rsidRPr="000A65C6" w14:paraId="650BF082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53B1C09" w14:textId="5BFC7AB4" w:rsidR="00841331" w:rsidRPr="00841331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5.</w:t>
                  </w:r>
                  <w:r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1. </w:t>
                  </w: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7AF2D5B" w14:textId="06DA04AB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2.260.586,00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66BDCB8" w14:textId="74F1D42F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1.013.177,30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2FF3E76" w14:textId="7C65F486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44,82%</w:t>
                  </w:r>
                </w:p>
              </w:tc>
            </w:tr>
            <w:tr w:rsidR="00841331" w:rsidRPr="000A65C6" w14:paraId="1AAD7534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70C74FD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5.1.04 DECENTRALIZIRANA SREDSTVA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3F0F6E3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1.311.286,00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E3C2860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655.529,59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4E5B069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49,99%</w:t>
                  </w:r>
                </w:p>
              </w:tc>
            </w:tr>
            <w:tr w:rsidR="00841331" w:rsidRPr="000A65C6" w14:paraId="32338443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B760331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5.1.17 TEKUĆE POMOĆI IZ GRAD.PR.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9652439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170.301,00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82B8C1A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70.169,08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9AAA2C7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41,20%</w:t>
                  </w:r>
                </w:p>
              </w:tc>
            </w:tr>
            <w:tr w:rsidR="00841331" w:rsidRPr="000A65C6" w14:paraId="68AF91D1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D65BB41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5.1.19 TEKUĆE POMOĆI IZ OPĆ.PR.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2CDA04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643.999,00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58B9531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287.478,63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6E7763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44,64%</w:t>
                  </w:r>
                </w:p>
              </w:tc>
            </w:tr>
            <w:tr w:rsidR="00841331" w:rsidRPr="000A65C6" w14:paraId="7A43E3A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279FDB5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5.1.288 POMOĆI IZ ŽUPANIJE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D06C91F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135.000,00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85E5ED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76A0B6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455862C6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9806B56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EA27F9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B065471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CE26C0F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1,16%</w:t>
                  </w:r>
                </w:p>
              </w:tc>
            </w:tr>
            <w:tr w:rsidR="00841331" w:rsidRPr="000A65C6" w14:paraId="139655BD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3628E07" w14:textId="383BEDEC" w:rsidR="00841331" w:rsidRPr="00841331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6.</w:t>
                  </w: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6EF5199" w14:textId="5F071554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661A371E" w14:textId="2DCA158D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6C16041" w14:textId="3CA99A7D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1,16%</w:t>
                  </w:r>
                </w:p>
              </w:tc>
            </w:tr>
            <w:tr w:rsidR="00841331" w:rsidRPr="000A65C6" w14:paraId="7C25F8D2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AD23259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6.1.35 DONACIJE OD PODRUČ.VATROGASNE ZAJED.ZA JVP-SEZ.GASITELJI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CE27A2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53.000,00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7758496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26C347A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7AD93F9D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7C77B96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6.1.37 DONACIJE OD VATROGASNE ZAJED.IŽ ZA JVP-SEZ.GASITELJI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ADD0788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C769E4F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DA4157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074B93A8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B6A56C1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 xml:space="preserve">Izvor 6.1.40 DONACIJE JVP 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98F1988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1D35424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34FCBD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841331" w:rsidRPr="000A65C6" w14:paraId="59FEBD7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96C4F5F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7. PRIHODI OD PRODAJE ILI ZAMJ.NEF. IMOVINE I NAK.S NAS.OSIG.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B2DEA5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B831A8A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F9DF64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208A970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CFA9484" w14:textId="7081421C" w:rsidR="00841331" w:rsidRPr="00841331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7.1. PRIHODI OD PRODAJE ILI ZAMJ.NEF. IMOVINE I NAK.S NAS.OSIG.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420566F" w14:textId="0CE45484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7A0A8EF" w14:textId="2E8AF218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397D8CAD" w14:textId="237647A8" w:rsidR="00841331" w:rsidRPr="00841331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68BEF9FE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CB761BD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Izvor 7.1.31 PRIHODI OD NAKNADA ŠTETA S OSNOVA OSIGURANJA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22D4B87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EB758E7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ADA6E1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841331" w:rsidRPr="000A65C6" w14:paraId="3537D84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01896C9B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A05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101815EE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Glavni program: ZAŠTITA OD POŽARA I CIVILNA ZAŠTITA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070E17F8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42BA2F2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7BB04AF0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841331" w:rsidRPr="000A65C6" w14:paraId="29A540B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3A7084F1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2005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09A8DC08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Program: ORGANIZIRANJE I PROVOĐENJE ZAŠTITE I SPAŠAVANJA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2E0DE783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4.490.000,00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667766C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00"/>
                  <w:noWrap/>
                  <w:vAlign w:val="bottom"/>
                  <w:hideMark/>
                </w:tcPr>
                <w:p w14:paraId="0DAFBAF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40,84%</w:t>
                  </w:r>
                </w:p>
              </w:tc>
            </w:tr>
            <w:tr w:rsidR="00841331" w:rsidRPr="000A65C6" w14:paraId="059D7CA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AFBCC3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A205001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E96559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Aktivnost: Financiranje Javne vatrogasne postrojbe Pula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E1DF5F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3.970.000,00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74329C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1.833.581,81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A5E70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46,19%</w:t>
                  </w:r>
                </w:p>
              </w:tc>
            </w:tr>
            <w:tr w:rsidR="00841331" w:rsidRPr="000A65C6" w14:paraId="6D1338D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5C486A3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F6DDEE0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1.805.714,00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50C120B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B1CDB3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44,51%</w:t>
                  </w:r>
                </w:p>
              </w:tc>
            </w:tr>
            <w:tr w:rsidR="00841331" w:rsidRPr="000A65C6" w14:paraId="61914E3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F76089E" w14:textId="25F2B68E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1.1.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5E35748E" w14:textId="1E6F5101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1.805.714,00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3C55FA6" w14:textId="2F83553A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5F34B02" w14:textId="5C695EF2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44,51%</w:t>
                  </w:r>
                </w:p>
              </w:tc>
            </w:tr>
            <w:tr w:rsidR="00841331" w:rsidRPr="000A65C6" w14:paraId="74B64E59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578FBE8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1.1.01 PRIHODI ZA FINANCIRANJE RASHODA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D64BEBC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1.805.714,00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CF608C3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803.682,32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5BB1236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44,51%</w:t>
                  </w:r>
                </w:p>
              </w:tc>
            </w:tr>
            <w:tr w:rsidR="00841331" w:rsidRPr="000A65C6" w14:paraId="46F149B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89708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6DA8F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B72D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1.527.070,00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0B81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744.370,75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2D6A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48,75%</w:t>
                  </w:r>
                </w:p>
              </w:tc>
            </w:tr>
            <w:tr w:rsidR="00841331" w:rsidRPr="000A65C6" w14:paraId="1BFD7419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4C54C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1BEB7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E3E9C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4AF21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425.136,32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F514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1331" w:rsidRPr="000A65C6" w14:paraId="1A311DB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BA71D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7010B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FBFFD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52135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46.967,51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7AEFD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1331" w:rsidRPr="000A65C6" w14:paraId="4E185C4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DE559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46870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77A1C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473E4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79.087,28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EC500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841331" w:rsidRPr="000A65C6" w14:paraId="32FD8947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9E4DF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DEBE6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Doprinosi za mirovinsko osiguranje za staž s povećanim trajanjem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F8277" w14:textId="77777777" w:rsidR="00841331" w:rsidRPr="000A65C6" w:rsidRDefault="00841331" w:rsidP="0084133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CD3A4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65.674,75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00E32" w14:textId="77777777" w:rsidR="00841331" w:rsidRPr="000A65C6" w:rsidRDefault="00841331" w:rsidP="008413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70159E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34A8FE44" w14:textId="2198B7F0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lastRenderedPageBreak/>
                    <w:t>Projekt/Aktivnost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522F42AE" w14:textId="7AD540DC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VRSTA RASHODA I IZDATAKA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7A1DEE17" w14:textId="62262D7C" w:rsidR="00025BF6" w:rsidRPr="000A65C6" w:rsidRDefault="00025BF6" w:rsidP="00025B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Izvorni plan 2025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6943E33C" w14:textId="6DABC7BC" w:rsidR="00025BF6" w:rsidRPr="000A65C6" w:rsidRDefault="00025BF6" w:rsidP="00025B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6C7170CD" w14:textId="721A6165" w:rsidR="00025BF6" w:rsidRPr="000A65C6" w:rsidRDefault="00025BF6" w:rsidP="00025B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2/1</w:t>
                  </w:r>
                </w:p>
              </w:tc>
            </w:tr>
            <w:tr w:rsidR="00025BF6" w:rsidRPr="000A65C6" w14:paraId="3EAEA55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B2E2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6729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6342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244.873,00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C030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58.203,79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D003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23,77%</w:t>
                  </w:r>
                </w:p>
              </w:tc>
            </w:tr>
            <w:tr w:rsidR="00025BF6" w:rsidRPr="000A65C6" w14:paraId="2A65DF8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A90A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CA63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191B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06F2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1.077,40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5ECA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196509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CEB8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4575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7480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3CAF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11.186,76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EB1C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9A14B1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FA1E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1FE7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C113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54A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670,00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2A8C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D01C6E3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A435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62AD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713F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6911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3.756,54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A45B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B2013D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7D5E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58D8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Energija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35E1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C8CD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7.232,54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3E5B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54CC50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5024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5575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3FCD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6CCD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382,78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C678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46DF3F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FFB6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C986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F762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525C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3.084,00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678BE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BFB0B9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4C0D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6D2D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3810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A049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4.544,74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E27D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AC8969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796C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17AE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606D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1C5D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1.804,34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FB17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133D847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5458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9AB8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tekućeg i investicijskog  održavanja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73A0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B126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1.826,43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E327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3243CDE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CE0B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61D9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promidžbe i informiranja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A9B9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F2F5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248,85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80DB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8CFA5D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FDA6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98AE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Komunalne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2038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E1C7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2.596,93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6296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5EE5F7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A344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33A7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Zakupnine i najamnine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7B2F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87FB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398,17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9A51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E5002F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1D78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590A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B759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B05B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538,83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7DC0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133884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F313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1247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0B64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CD15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516,94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744B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884AF2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FF24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F13A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25A9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A3A0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2.973,03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1235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910D863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0EF2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429B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0932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9A12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2.068,63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7025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260EF6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A0FB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9871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1671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758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12.534,76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2025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616315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DA29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3D9C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61CA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6147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317,34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B5B3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932589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03FA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FFF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Članarine i norme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8B57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5715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53,08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8EBF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BC8A1D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EB49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2BCC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FFEE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702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371,70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2B93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2E7181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6732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D61A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861D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E5FF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3EE3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A385EB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2F45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5190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E16C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69,00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DC0F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0,72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FAAC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1,04%</w:t>
                  </w:r>
                </w:p>
              </w:tc>
            </w:tr>
            <w:tr w:rsidR="00025BF6" w:rsidRPr="000A65C6" w14:paraId="02751F5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6E0E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3433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F0E3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Zatezne kamate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1C12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AE4B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0,72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4C5C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7BCE11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02C9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B6A7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Naknade građanima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kućan.na</w:t>
                  </w:r>
                  <w:proofErr w:type="spellEnd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 temelju osiguranja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dr.naknade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0E86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4.135,00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134B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1887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5A0959A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53C5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822B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92CF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29.567,00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EA8B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1.107,06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B5C1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3,74%</w:t>
                  </w:r>
                </w:p>
              </w:tc>
            </w:tr>
            <w:tr w:rsidR="00025BF6" w:rsidRPr="000A65C6" w14:paraId="2DFD31F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1B12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5788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D098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3C5B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625,81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46AA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A7EB2A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360C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4223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53A3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Oprema za održavanje i zaštitu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6399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C8D9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481,25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04F4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D1165A8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997C82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3. VLASTITI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EE5FE5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38.400,00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85C4E9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83ED22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41,44%</w:t>
                  </w:r>
                </w:p>
              </w:tc>
            </w:tr>
            <w:tr w:rsidR="00025BF6" w:rsidRPr="000A65C6" w14:paraId="1CE42F34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6A76C0E5" w14:textId="0BBB0A4F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3.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VLASTITI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68D30747" w14:textId="5E87D496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38.400,00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2CB12D4" w14:textId="1BF36765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39DEEEF" w14:textId="63D24C8E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41,44%</w:t>
                  </w:r>
                </w:p>
              </w:tc>
            </w:tr>
            <w:tr w:rsidR="00025BF6" w:rsidRPr="000A65C6" w14:paraId="7C05A6D3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F75B40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3.1.25 PRIHODI OD PRUŽENIH USLUGA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1891E4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38.000,00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45B759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3BBF07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41,87%</w:t>
                  </w:r>
                </w:p>
              </w:tc>
            </w:tr>
            <w:tr w:rsidR="00025BF6" w:rsidRPr="000A65C6" w14:paraId="45560587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DEE6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0BC8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CE39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38.000,00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4680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15.912,19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6ECC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41,87%</w:t>
                  </w:r>
                </w:p>
              </w:tc>
            </w:tr>
            <w:tr w:rsidR="00025BF6" w:rsidRPr="000A65C6" w14:paraId="20DD084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EDC3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3117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Energija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1896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1DED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6.419,13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F639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821791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4476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3A3D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23BA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6BAB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2.978,37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540B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35F9A9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F267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E2BB0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CFC2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2B93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4.632,19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74FD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72B7620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9790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4DEE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82A3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797A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1.882,50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2CE0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024654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0394F5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3.1.37 PRIHODI OD KAMATA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1A55C2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FCD09B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7FA15D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15E28C8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CE5B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4C64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6F66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889D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C219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3BFD0FF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F36FB7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Izvor 3.1.58 OSTALI PRIHODI 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B5A53A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3473F4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F54318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79B12D1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A543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E9C6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1DE3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7184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A8DD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78657DD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D1BE93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2CF4B7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2.125.586,00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58F9FB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1.013.177,30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1EF679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47,67%</w:t>
                  </w:r>
                </w:p>
              </w:tc>
            </w:tr>
            <w:tr w:rsidR="00025BF6" w:rsidRPr="000A65C6" w14:paraId="7934D618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38C97372" w14:textId="2EEF7789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35EB189" w14:textId="3BFB4114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2.125.586,00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2CD9570" w14:textId="30FC6FF6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1.013.177,30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3EA93CD" w14:textId="5F600615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47,67%</w:t>
                  </w:r>
                </w:p>
              </w:tc>
            </w:tr>
            <w:tr w:rsidR="00025BF6" w:rsidRPr="000A65C6" w14:paraId="7FB6167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899A29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5.1.04 DECENTRALIZIRANA SREDSTVA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8FF032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1.311.286,00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A298F0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655.529,59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7616D9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49,99%</w:t>
                  </w:r>
                </w:p>
              </w:tc>
            </w:tr>
            <w:tr w:rsidR="00025BF6" w:rsidRPr="000A65C6" w14:paraId="78B631B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C08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FBBA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F257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1.235.286,00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C8B9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617.243,41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2E48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49,97%</w:t>
                  </w:r>
                </w:p>
              </w:tc>
            </w:tr>
            <w:tr w:rsidR="00025BF6" w:rsidRPr="000A65C6" w14:paraId="2058F47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DFA1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F4E3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79CD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8F71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617.243,41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CFBE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9D1517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70C0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5A5D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6EFA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76.000,00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4EAB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38.286,18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DD49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50,38%</w:t>
                  </w:r>
                </w:p>
              </w:tc>
            </w:tr>
            <w:tr w:rsidR="00025BF6" w:rsidRPr="000A65C6" w14:paraId="3DBDAA5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E127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869AA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88A9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A392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21.612,76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F1C4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A570D2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C828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8545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tekućeg i investicijskog  održavanja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8DC5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9885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5.403,61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034D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8208CF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0086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F279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EB35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297C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11.269,81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657B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7F3C8892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3CD502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5.1.17 TEKUĆE POMOĆI IZ GRAD.PR.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689A3C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170.301,00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95C72B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70.169,08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AAAA30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41,20%</w:t>
                  </w:r>
                </w:p>
              </w:tc>
            </w:tr>
            <w:tr w:rsidR="00025BF6" w:rsidRPr="000A65C6" w14:paraId="14A0EE5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04B3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15DE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C759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144.021,00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7A8F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67.054,52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A3C1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46,56%</w:t>
                  </w:r>
                </w:p>
              </w:tc>
            </w:tr>
            <w:tr w:rsidR="00025BF6" w:rsidRPr="000A65C6" w14:paraId="46134E83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4563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CA1A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2282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B71F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41.000,00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06FF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45075AF" w14:textId="77777777" w:rsidTr="00B2599E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225D9EB9" w14:textId="41EF8D93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lastRenderedPageBreak/>
                    <w:t>Projekt/Aktivnost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7C9EEC28" w14:textId="1E171CB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VRSTA RASHODA I IZDATAKA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77D6A946" w14:textId="77B569ED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Izvorni plan 2025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0128CE41" w14:textId="05AD93F3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157D55C7" w14:textId="6F1185A6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2/1</w:t>
                  </w:r>
                </w:p>
              </w:tc>
            </w:tr>
            <w:tr w:rsidR="00025BF6" w:rsidRPr="000A65C6" w14:paraId="7795943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7C8E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2896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D0AB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08BA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4.577,48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9A39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A8455A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51E2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2ECA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E844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4C8E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7.644,55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BDFC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75668693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7577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2471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Doprinosi za mirovinsko osiguranje za staž s povećanim trajanjem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F252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18FE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6.372,74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9797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5A0C67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5B16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3D44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448A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39E0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7.459,75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2A3C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8E84BD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B2C5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095F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508F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23.095,00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560A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2.959,56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951E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12,81%</w:t>
                  </w:r>
                </w:p>
              </w:tc>
            </w:tr>
            <w:tr w:rsidR="00025BF6" w:rsidRPr="000A65C6" w14:paraId="17F523EE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3063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18CB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15A7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89AB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102,00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33DC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3F74B47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01CE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0BF2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205B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259C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B23C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C8AD5A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FA40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58EF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995E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9B84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293,06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E8BE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EB8CCC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3E16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B15E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Energija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4A89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5A3D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84,77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B654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C19EC5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4B76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8ED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E8BF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BD70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94,00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5C52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BF690A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CD11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F745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F24E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71F4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237,50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71E6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7ED0E7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8A08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31B8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4FF7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A1D4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194,98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1EF7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4DDDD5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18BD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F1E1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2F1E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84EE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137,49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75E6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B3528A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80AAA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0431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Komunalne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A31C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38AA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189,78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A5AA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70E75B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5D3B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87BD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37E7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833C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58,31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69C1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3CD1839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7E8F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2327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7B38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0601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80,24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36F2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742CBD2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6F46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A3DD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39D8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FFD6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27,64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8D6F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38C162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1EDD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F2FF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1151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2E9D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236,92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10EA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A867C2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9B45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7A0C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0D1B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9E28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1.112,87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4EDE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63770E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491A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34AD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BF2C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6,00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D84B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A861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6D90BC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254F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31AF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Naknade građanima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kućan.na</w:t>
                  </w:r>
                  <w:proofErr w:type="spellEnd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 temelju osiguranja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dr.naknade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D6FC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390,00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5480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8491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1550EE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617B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82DA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602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2.789,00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4191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2B92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5,56%</w:t>
                  </w:r>
                </w:p>
              </w:tc>
            </w:tr>
            <w:tr w:rsidR="00025BF6" w:rsidRPr="000A65C6" w14:paraId="602FABE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9FE7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35AA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93B3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18D9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0AC5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49DD5B7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FE31FF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5.1.19 TEKUĆE POMOĆI IZ OPĆ.PR.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74D955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643.999,00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667830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287.478,63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C1960A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44,64%</w:t>
                  </w:r>
                </w:p>
              </w:tc>
            </w:tr>
            <w:tr w:rsidR="00025BF6" w:rsidRPr="000A65C6" w14:paraId="27EB667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C887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B7BB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70B4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544.623,00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97CA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271.415,54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04A9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49,84%</w:t>
                  </w:r>
                </w:p>
              </w:tc>
            </w:tr>
            <w:tr w:rsidR="00025BF6" w:rsidRPr="000A65C6" w14:paraId="5603199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6BF9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1E8D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D5A4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DA3D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140.574,19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382F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F7169E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8842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19F2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3B21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3560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17.342,84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7025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A507DFB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8491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7C09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4D35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BE8E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33.770,28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29FF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C705EE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DF48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BB46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Doprinosi za mirovinsko osiguranje za staž s povećanim trajanjem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535A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7234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23.469,35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120B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9C00B6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68A2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3132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EF52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EA93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F501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56.258,88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1694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34018A7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3378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537B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737E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87.332,00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788C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15.713,09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6420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17,99%</w:t>
                  </w:r>
                </w:p>
              </w:tc>
            </w:tr>
            <w:tr w:rsidR="00025BF6" w:rsidRPr="000A65C6" w14:paraId="602945D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EA02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2B7B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E75C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9BAD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299,25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0EE7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102B46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81CB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1B43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BED8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574B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B94A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676BCF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F458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C41A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ED72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1550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1.160,93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6CCA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5489DB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D6CA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3223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E6A0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Energija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7930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105C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2.639,93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79C0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83AFB4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8518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C50C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4C17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F72F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173,75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9205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D327519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5CF4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E528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1D10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DB3C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397,47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7451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34C337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30F9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9964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0E4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DE13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2.085,00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6537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1041109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F9AD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4544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1A20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19A8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504,71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2A29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C58392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E571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0F35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Usluge tekućeg i investicijskog  održavanja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50BF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963D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114,54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7154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E2D5CBE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590BF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EA15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Komunalne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14C8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24F9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640,42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3CDD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3CA8F06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BCD7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693B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EB25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DB1E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144,00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E477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6DFB79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AAA2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E901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B31E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6398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82,95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96B8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79E30CC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324F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E4DB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8E0A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EC80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1.480,94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C5CD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D0B6F0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D481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37D7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1E3C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CFCB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838,70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8297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2D9531A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0481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AC30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86BC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BD71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4.510,16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825F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3CEA45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E7AA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35DB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EE63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1757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74,34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4084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0D90D65A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3BD4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1298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4017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99DC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56,00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7C4A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19D0384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BE25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6B41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7AEB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25,00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5C26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0887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152C2D2C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B45E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6319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Naknade građanima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kućan.na</w:t>
                  </w:r>
                  <w:proofErr w:type="spellEnd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 temelju osiguranja i </w:t>
                  </w:r>
                  <w:proofErr w:type="spellStart"/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dr.naknade</w:t>
                  </w:r>
                  <w:proofErr w:type="spellEnd"/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888C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1.475,00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412D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4506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7A21C60F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DBE3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7E80E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E15E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10.544,00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B67A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473F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3,32%</w:t>
                  </w:r>
                </w:p>
              </w:tc>
            </w:tr>
            <w:tr w:rsidR="00025BF6" w:rsidRPr="000A65C6" w14:paraId="39D56731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82CE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F72B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06D0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3BF9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A157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5670B46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A4E2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7442A6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D9B0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A1CC7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2CBD8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66F74F09" w14:textId="77777777" w:rsidTr="00C92452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2CD6FFA5" w14:textId="1483A908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lastRenderedPageBreak/>
                    <w:t>VRSTA RASHODA I IZDATAKA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4F1A19C8" w14:textId="19F845C4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Izvorni plan 2025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375BFA61" w14:textId="649929F9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</w:tcPr>
                <w:p w14:paraId="5EA12438" w14:textId="62EC1105" w:rsidR="00025BF6" w:rsidRPr="000A65C6" w:rsidRDefault="00025BF6" w:rsidP="007970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2/1</w:t>
                  </w:r>
                </w:p>
              </w:tc>
            </w:tr>
            <w:tr w:rsidR="00025BF6" w:rsidRPr="000A65C6" w14:paraId="56E9DBD2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AE4A63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0CA00B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0898FA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85884C2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25BF6" w:rsidRPr="000A65C6" w14:paraId="3B4C93EE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B52742B" w14:textId="56631B25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84133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53F4A25" w14:textId="3273CA0C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80C53F2" w14:textId="1F1B067A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BFD30F8" w14:textId="6AD4412C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25BF6" w:rsidRPr="000A65C6" w14:paraId="24B26D9C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4A2DCD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Izvor 6.1.40 DONACIJE JVP 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6FFA80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8DE190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B728DA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25BF6" w:rsidRPr="000A65C6" w14:paraId="5EB2493D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3B70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1CB6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5276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667D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AD53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4A5731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0941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DCB3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8B71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4F89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810,00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0E59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25BF6" w:rsidRPr="000A65C6" w14:paraId="41F7CE4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A3CB0A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7. PRIHODI OD PRODAJE ILI ZAMJ.NEF. IMOVINE I NAK.S NAS.OSIG.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55240E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F909AE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993B0F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35E77C3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B120DB2" w14:textId="358A0313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7.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PRIHODI OD PRODAJE ILI ZAMJ.NEF. IMOVINE I NAK.S NAS.OSIG.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EA459A6" w14:textId="0345CCC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02103C68" w14:textId="27CD94F5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3EA0213" w14:textId="14D84A5C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69F3EECB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AB1C45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7.1.31 PRIHODI OD NAKNADA ŠTETA S OSNOVA OSIGURANJA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0C57D0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359ECA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BD79EC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70ABF470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CD72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70B92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3CB6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F6026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65F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57426E28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CD72B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A205004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B76E7D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Aktivnost: Provedba posebnih mjera zaštite-sezonski vatrogasci 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316833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1B555C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A7DFD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2049198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A88D07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DB2609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F2F4D6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4B9412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4C5DC733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8E12453" w14:textId="4120512B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DONACIJE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603B5440" w14:textId="1089FEB9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5F1BFBC2" w14:textId="18FDC44B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F961984" w14:textId="5A6036DA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1D1AD0FE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452186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6.1.35 DONACIJE OD PODRUČ.VATROGASNE ZAJED.ZA JVP-SEZ.GASITELJI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C7F43B8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53.000,00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955D6EF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D23450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58FEB1F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05865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BF66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8B3D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49.000,00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84AEC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F175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FBB5FC6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DBF9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B2D6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917A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CBEE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472F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68EDA1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255F3F1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6.1.37 DONACIJE OD VATROGASNE ZAJED.IŽ ZA JVP-SEZ.GASITELJI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67C233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35EE2F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A35371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89EBB3E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1D723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71C54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6885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9A34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90E8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1F3FB515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81F28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K205001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42A11A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Kapitalni projekt: Regionalni centar za zaštitu i spašavanje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2B3DC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450.000,00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EE0B9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400D00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1EBF1A2A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A12B8A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B439AB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315.000,00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B933E7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7AD028E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39DA0690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18FC779" w14:textId="7BDA6C2A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33E45BDA" w14:textId="1B958411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315.000,00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5AA48D70" w14:textId="51F8506C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5D2FA52" w14:textId="3E322DAE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5C7F3DFB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45B7FB9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1.1.01 PRIHODI ZA FINANCIRANJE RASHODA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653F941A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315.000,00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321969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A9BF7D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05E48554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9A858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BE980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98973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315.000,00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AD23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FBF8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3DAC9429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ADB99CB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5A7D604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135.000,00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2CA260D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022AF51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7ECF6663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132C51C7" w14:textId="4700FE1B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1.</w:t>
                  </w:r>
                  <w:r w:rsidRPr="003E0C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 xml:space="preserve">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2649F492" w14:textId="025B1742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135.000,00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7E383E22" w14:textId="7B97EF01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</w:tcPr>
                <w:p w14:paraId="4EB487ED" w14:textId="0EB8E3C4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370D0B18" w14:textId="77777777" w:rsidTr="00025BF6">
              <w:trPr>
                <w:trHeight w:val="255"/>
              </w:trPr>
              <w:tc>
                <w:tcPr>
                  <w:tcW w:w="6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20BCCBA7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Izvor 5.1.288 POMOĆI IZ ŽUPANIJE ZA JVP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05DD8895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135.000,00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1ECD7779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B6D3167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  <w:tr w:rsidR="00025BF6" w:rsidRPr="000A65C6" w14:paraId="21AC6792" w14:textId="77777777" w:rsidTr="00025BF6">
              <w:trPr>
                <w:trHeight w:val="255"/>
              </w:trPr>
              <w:tc>
                <w:tcPr>
                  <w:tcW w:w="1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F66E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1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C1EFC" w14:textId="77777777" w:rsidR="00025BF6" w:rsidRPr="000A65C6" w:rsidRDefault="00025BF6" w:rsidP="00025B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D8CA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135.000,00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AAEAE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BF6EB" w14:textId="77777777" w:rsidR="00025BF6" w:rsidRPr="000A65C6" w:rsidRDefault="00025BF6" w:rsidP="00025B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0A65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0,00%</w:t>
                  </w:r>
                </w:p>
              </w:tc>
            </w:tr>
          </w:tbl>
          <w:p w14:paraId="40FCBB29" w14:textId="77777777" w:rsidR="000A65C6" w:rsidRDefault="000A65C6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94D8F4A" w14:textId="77777777" w:rsidR="0026670A" w:rsidRDefault="0026670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3470371" w14:textId="77777777" w:rsidR="000A65C6" w:rsidRDefault="000A65C6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7C093C7" w14:textId="77777777" w:rsidR="000A65C6" w:rsidRDefault="000A65C6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15C5EFD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C8364E2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CD4D142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CB4ECB9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50E8A3D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C083FD7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8E0BE4F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7040337" w14:textId="77777777" w:rsidR="0014776A" w:rsidRDefault="0014776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F79587B" w14:textId="283997C5" w:rsidR="0026670A" w:rsidRPr="000D21BE" w:rsidRDefault="0026670A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D21BE" w:rsidRPr="000D21BE" w14:paraId="72CEF5EA" w14:textId="77777777" w:rsidTr="0014776A">
        <w:trPr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837" w14:textId="77777777" w:rsidR="000D21BE" w:rsidRPr="000D21BE" w:rsidRDefault="000D21BE" w:rsidP="000D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84B0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0D68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34D6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85A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40E5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4FC2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2A7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EDF3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8F4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ADEB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977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C3CF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D20" w14:textId="77777777" w:rsidR="000D21BE" w:rsidRPr="000D21BE" w:rsidRDefault="000D21BE" w:rsidP="000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4A588AF" w14:textId="77777777" w:rsidR="007A7E7F" w:rsidRDefault="007A7E7F"/>
    <w:p w14:paraId="27B2AAE8" w14:textId="77777777" w:rsidR="000D21BE" w:rsidRDefault="000D21BE"/>
    <w:p w14:paraId="70D88DC4" w14:textId="77777777" w:rsidR="000D21BE" w:rsidRDefault="000D21BE"/>
    <w:p w14:paraId="6E0E7E4E" w14:textId="77777777" w:rsidR="000D21BE" w:rsidRDefault="000D21BE"/>
    <w:p w14:paraId="3A1C4F44" w14:textId="77777777" w:rsidR="000D21BE" w:rsidRDefault="000D21BE"/>
    <w:p w14:paraId="529B10EC" w14:textId="77777777" w:rsidR="000D21BE" w:rsidRDefault="000D21BE"/>
    <w:p w14:paraId="6A88A243" w14:textId="77777777" w:rsidR="000D21BE" w:rsidRDefault="000D21BE"/>
    <w:p w14:paraId="6D596218" w14:textId="77777777" w:rsidR="000A65C6" w:rsidRDefault="000A65C6" w:rsidP="00CF5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588C9050" w14:textId="77777777" w:rsidR="000A65C6" w:rsidRDefault="000A65C6" w:rsidP="00CF5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AF5FBE1" w14:textId="0A40C8F7" w:rsidR="00BE3016" w:rsidRDefault="004B0EF5" w:rsidP="00CF5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lastRenderedPageBreak/>
        <w:t>I</w:t>
      </w:r>
      <w:r w:rsidRPr="005F654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</w:t>
      </w:r>
      <w:r w:rsidR="00F953E0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Pr="005F654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OBRAZLOŽENJE </w:t>
      </w:r>
      <w:r w:rsidR="00BE3016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OPĆEG DIJELA </w:t>
      </w:r>
    </w:p>
    <w:p w14:paraId="1ED576F5" w14:textId="77777777" w:rsidR="00BE3016" w:rsidRDefault="00BE3016" w:rsidP="00BE301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2DF37100" w14:textId="346A1269" w:rsidR="00B27CA0" w:rsidRDefault="00BE3016" w:rsidP="0020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OBRAZLOŽENJE </w:t>
      </w:r>
      <w:r w:rsidR="004B0EF5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OSTVARENJA PRIHODA I </w:t>
      </w:r>
      <w:r w:rsidR="007C2FA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RASHODA, </w:t>
      </w:r>
      <w:r w:rsidR="004B0EF5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PRIMITAKA</w:t>
      </w:r>
      <w:r w:rsidR="007C2FA1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="004B0EF5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 IZDATAKA</w:t>
      </w:r>
    </w:p>
    <w:p w14:paraId="40D38BAE" w14:textId="77777777" w:rsidR="00712802" w:rsidRDefault="00712802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3AE0EF" w14:textId="32A40AE1" w:rsidR="00584971" w:rsidRDefault="00F953E0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Temeljem odredbi članka </w:t>
      </w:r>
      <w:r w:rsidR="005849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81. do 87. Zakona o proračunu (Narodne novine broj 144/21)</w:t>
      </w:r>
      <w:r w:rsid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te </w:t>
      </w:r>
      <w:r w:rsidR="002F4268" w:rsidRP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Pravilnik</w:t>
      </w:r>
      <w:r w:rsidR="00A9654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2F4268" w:rsidRP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 polugodišnjem i godišnjem izvještaju o izvršenju proračuna i financijskog plana (Narodne novine broj 85/23)</w:t>
      </w:r>
      <w:r w:rsid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849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utvrđen je sadržaj, obveza izrade i podno</w:t>
      </w:r>
      <w:r w:rsidR="006875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š</w:t>
      </w:r>
      <w:r w:rsidR="005849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enja Polugodišnjeg izvještaja o izvršenju financijskog plana Javne vatrogasne postrojbe Pula </w:t>
      </w:r>
      <w:r w:rsid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(dalje u tekstu: JVP Pula) </w:t>
      </w:r>
      <w:r w:rsidR="005849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202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5849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14:paraId="558F0A9A" w14:textId="362C642F" w:rsidR="00584971" w:rsidRDefault="00584971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Sukladno Pravilniku o proračunskom računovodstvu i računskom planu, u izvještajnom razdoblju 01.01. do 30.06.202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 iskazani su samo naplaćeni prihodi, dok su rashodi</w:t>
      </w:r>
      <w:r w:rsidR="0067328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izvještajno razdoblje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iskazani neovisno od toga da li su plaćeni.</w:t>
      </w:r>
    </w:p>
    <w:p w14:paraId="47574B45" w14:textId="21861500" w:rsidR="00D23277" w:rsidRDefault="00D23277" w:rsidP="00D23277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995E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 Pula je 2012. godine uveo Lokalnu riznicu za svoje proračunske korisnike, te od tada J</w:t>
      </w:r>
      <w:r w:rsid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 w:rsidRPr="00995E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nema svoj račun već se sva plaćanja i naplate svih prihoda obavljaju </w:t>
      </w:r>
      <w:r w:rsidR="0003297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preko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računa Grada Pule</w:t>
      </w:r>
      <w:r w:rsidRPr="00995E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2DF37E4C" w14:textId="4E278104" w:rsidR="0067328F" w:rsidRDefault="0067328F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Financijski plan J</w:t>
      </w:r>
      <w:r w:rsidR="002F42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za 202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 donesen je na sjednici Vatrogasnog vijeća J</w:t>
      </w:r>
      <w:r w:rsidR="002F4268"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održanoj dana 1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</w:t>
      </w:r>
      <w:r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.12.202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Ukupno planirana sredstva iznos</w:t>
      </w:r>
      <w:r w:rsidR="008F2A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B679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1B679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490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1B679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00</w:t>
      </w:r>
      <w:r w:rsidR="004B08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0,00 EUR</w:t>
      </w:r>
      <w:r w:rsidR="001968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6743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09B24839" w14:textId="3BB97007" w:rsidR="00584971" w:rsidRDefault="00A77CBC" w:rsidP="00F953E0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Na dan 30.06.2025. godine JVP Pula imala je 71 zaposlenu osobu.</w:t>
      </w:r>
    </w:p>
    <w:p w14:paraId="7EACF62E" w14:textId="77777777" w:rsidR="005A27F2" w:rsidRDefault="00584971" w:rsidP="00C242A2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32093C4" w14:textId="20F5543A" w:rsidR="00C242A2" w:rsidRPr="00C242A2" w:rsidRDefault="00C242A2" w:rsidP="00C242A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242A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PRIHODI </w:t>
      </w:r>
    </w:p>
    <w:p w14:paraId="6EA6E8A4" w14:textId="5C8D59BB" w:rsidR="009C0B4C" w:rsidRDefault="00B27CA0" w:rsidP="00B27CA0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obračunskom razdoblju 01.01. – 3</w:t>
      </w:r>
      <w:r w:rsidR="00BE30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BE30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.202</w:t>
      </w:r>
      <w:r w:rsidR="001B679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 J</w:t>
      </w:r>
      <w:r w:rsidR="000B208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</w:t>
      </w:r>
      <w:r w:rsidR="00A9654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ostvarila </w:t>
      </w:r>
      <w:r w:rsidR="00F81E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ukupne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prihode u 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iznosu </w:t>
      </w:r>
      <w:r w:rsidR="00BE3016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</w:t>
      </w:r>
      <w:r w:rsidR="0019686C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748</w:t>
      </w:r>
      <w:r w:rsidR="00BE3016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8366D4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19686C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79,94</w:t>
      </w:r>
      <w:r w:rsidR="00BE3016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56C7E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odnosno </w:t>
      </w:r>
      <w:r w:rsidR="00FD3B52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D75963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FD3B52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,9</w:t>
      </w:r>
      <w:r w:rsidR="00D75963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 odnosu na plan</w:t>
      </w:r>
      <w:r w:rsidR="00456C7E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6875F7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456C7E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1</w:t>
      </w:r>
      <w:r w:rsidR="00D75963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</w:t>
      </w:r>
      <w:r w:rsidR="00FD3B52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D75963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73</w:t>
      </w:r>
      <w:r w:rsidR="00456C7E" w:rsidRP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</w:t>
      </w:r>
      <w:r w:rsidR="00456C7E"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donosu na isto prošlogodišnje razdoblje</w:t>
      </w:r>
      <w:r w:rsidR="000577B5" w:rsidRPr="00FD3B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u cijelo</w:t>
      </w:r>
      <w:r w:rsidR="008F2A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</w:t>
      </w:r>
      <w:r w:rsidR="00E218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</w:t>
      </w:r>
      <w:r w:rsidR="00D759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se odnose na p</w:t>
      </w:r>
      <w:r w:rsidR="00F81E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rihode poslovanja</w:t>
      </w:r>
      <w:r w:rsidR="008E380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i to na:</w:t>
      </w:r>
    </w:p>
    <w:p w14:paraId="5B2E14E9" w14:textId="41067C4F" w:rsidR="00D23277" w:rsidRDefault="009C0B4C" w:rsidP="009C0B4C">
      <w:pPr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1.</w:t>
      </w:r>
      <w:r w:rsidRPr="009C0B4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</w:t>
      </w:r>
      <w:r w:rsidR="00F81ECE" w:rsidRPr="009C0B4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bookmarkStart w:id="3" w:name="_Hlk171929998"/>
      <w:r w:rsidR="008E380E" w:rsidRPr="009C0B4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Pomoći od subjekata unutar općeg </w:t>
      </w:r>
      <w:r w:rsidR="00A142AD" w:rsidRPr="009C0B4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proračuna</w:t>
      </w:r>
      <w:r w:rsidR="00A142AD"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E380E" w:rsidRPr="009C0B4C">
        <w:rPr>
          <w:rFonts w:ascii="Times New Roman" w:hAnsi="Times New Roman" w:cs="Times New Roman"/>
          <w:noProof/>
          <w:sz w:val="24"/>
          <w:szCs w:val="24"/>
        </w:rPr>
        <w:t xml:space="preserve">(skupina 63) u iznosu </w:t>
      </w:r>
      <w:r w:rsidR="00D75963">
        <w:rPr>
          <w:rFonts w:ascii="Times New Roman" w:hAnsi="Times New Roman" w:cs="Times New Roman"/>
          <w:noProof/>
          <w:sz w:val="24"/>
          <w:szCs w:val="24"/>
        </w:rPr>
        <w:t>436.060,00</w:t>
      </w:r>
      <w:r w:rsidR="0067430F" w:rsidRPr="009C0B4C">
        <w:rPr>
          <w:rFonts w:ascii="Times New Roman" w:hAnsi="Times New Roman" w:cs="Times New Roman"/>
          <w:noProof/>
          <w:sz w:val="24"/>
          <w:szCs w:val="24"/>
        </w:rPr>
        <w:t xml:space="preserve"> EUR</w:t>
      </w:r>
      <w:r w:rsidR="00D5382A"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90530" w:rsidRPr="009C0B4C">
        <w:rPr>
          <w:rFonts w:ascii="Times New Roman" w:hAnsi="Times New Roman" w:cs="Times New Roman"/>
          <w:noProof/>
          <w:sz w:val="24"/>
          <w:szCs w:val="24"/>
        </w:rPr>
        <w:t xml:space="preserve">koje se odnose na </w:t>
      </w:r>
      <w:r w:rsidR="00B55ADB" w:rsidRPr="009C0B4C">
        <w:rPr>
          <w:rFonts w:ascii="Times New Roman" w:hAnsi="Times New Roman" w:cs="Times New Roman"/>
          <w:noProof/>
          <w:sz w:val="24"/>
          <w:szCs w:val="24"/>
        </w:rPr>
        <w:t xml:space="preserve">tekuće pomoći iz nenadležnih proračuna </w:t>
      </w:r>
      <w:r w:rsidR="00E90530" w:rsidRPr="009C0B4C">
        <w:rPr>
          <w:rFonts w:ascii="Times New Roman" w:hAnsi="Times New Roman" w:cs="Times New Roman"/>
          <w:noProof/>
          <w:sz w:val="24"/>
          <w:szCs w:val="24"/>
        </w:rPr>
        <w:t xml:space="preserve">odnosno </w:t>
      </w:r>
      <w:r w:rsidR="00D5382A" w:rsidRPr="009C0B4C">
        <w:rPr>
          <w:rFonts w:ascii="Times New Roman" w:hAnsi="Times New Roman" w:cs="Times New Roman"/>
          <w:noProof/>
          <w:sz w:val="24"/>
          <w:szCs w:val="24"/>
        </w:rPr>
        <w:t>p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>rihod</w:t>
      </w:r>
      <w:r w:rsidR="00E90530" w:rsidRPr="009C0B4C">
        <w:rPr>
          <w:rFonts w:ascii="Times New Roman" w:hAnsi="Times New Roman" w:cs="Times New Roman"/>
          <w:noProof/>
          <w:sz w:val="24"/>
          <w:szCs w:val="24"/>
        </w:rPr>
        <w:t>e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 od osnivača</w:t>
      </w:r>
      <w:r w:rsidR="0052043C" w:rsidRPr="009C0B4C">
        <w:rPr>
          <w:rFonts w:ascii="Times New Roman" w:hAnsi="Times New Roman" w:cs="Times New Roman"/>
          <w:noProof/>
          <w:sz w:val="24"/>
          <w:szCs w:val="24"/>
        </w:rPr>
        <w:t xml:space="preserve"> JVP Pula</w:t>
      </w:r>
      <w:r w:rsidR="00E90530" w:rsidRPr="009C0B4C">
        <w:rPr>
          <w:rFonts w:ascii="Times New Roman" w:hAnsi="Times New Roman" w:cs="Times New Roman"/>
          <w:noProof/>
          <w:sz w:val="24"/>
          <w:szCs w:val="24"/>
        </w:rPr>
        <w:t>: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D024A" w:rsidRPr="009C0B4C">
        <w:rPr>
          <w:rFonts w:ascii="Times New Roman" w:hAnsi="Times New Roman" w:cs="Times New Roman"/>
          <w:noProof/>
          <w:sz w:val="24"/>
          <w:szCs w:val="24"/>
        </w:rPr>
        <w:t>G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>rada Vodnjana</w:t>
      </w:r>
      <w:r w:rsidR="00D00AC3">
        <w:rPr>
          <w:rFonts w:ascii="Times New Roman" w:hAnsi="Times New Roman" w:cs="Times New Roman"/>
          <w:noProof/>
          <w:sz w:val="24"/>
          <w:szCs w:val="24"/>
        </w:rPr>
        <w:t>-Dignano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90530" w:rsidRPr="009C0B4C">
        <w:rPr>
          <w:rFonts w:ascii="Times New Roman" w:hAnsi="Times New Roman" w:cs="Times New Roman"/>
          <w:noProof/>
          <w:sz w:val="24"/>
          <w:szCs w:val="24"/>
        </w:rPr>
        <w:t>te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 općina Barban, Fažana</w:t>
      </w:r>
      <w:r w:rsidR="00D00AC3">
        <w:rPr>
          <w:rFonts w:ascii="Times New Roman" w:hAnsi="Times New Roman" w:cs="Times New Roman"/>
          <w:noProof/>
          <w:sz w:val="24"/>
          <w:szCs w:val="24"/>
        </w:rPr>
        <w:t>-Fasana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>, Ližnjan</w:t>
      </w:r>
      <w:r w:rsidR="00D00AC3">
        <w:rPr>
          <w:rFonts w:ascii="Times New Roman" w:hAnsi="Times New Roman" w:cs="Times New Roman"/>
          <w:noProof/>
          <w:sz w:val="24"/>
          <w:szCs w:val="24"/>
        </w:rPr>
        <w:t>-Lisignano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>, Marčana, Medulin i Svetvinčenat</w:t>
      </w:r>
      <w:r w:rsidR="009D024A" w:rsidRPr="009C0B4C">
        <w:rPr>
          <w:rFonts w:ascii="Times New Roman" w:hAnsi="Times New Roman" w:cs="Times New Roman"/>
          <w:noProof/>
          <w:sz w:val="24"/>
          <w:szCs w:val="24"/>
        </w:rPr>
        <w:t xml:space="preserve"> (svi osnivači osim Grad Pula</w:t>
      </w:r>
      <w:r w:rsidR="00D00AC3">
        <w:rPr>
          <w:rFonts w:ascii="Times New Roman" w:hAnsi="Times New Roman" w:cs="Times New Roman"/>
          <w:noProof/>
          <w:sz w:val="24"/>
          <w:szCs w:val="24"/>
        </w:rPr>
        <w:t>-Pola</w:t>
      </w:r>
      <w:r w:rsidR="009D024A" w:rsidRPr="009C0B4C">
        <w:rPr>
          <w:rFonts w:ascii="Times New Roman" w:hAnsi="Times New Roman" w:cs="Times New Roman"/>
          <w:noProof/>
          <w:sz w:val="24"/>
          <w:szCs w:val="24"/>
        </w:rPr>
        <w:t>)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D024A" w:rsidRPr="009C0B4C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>sukladno Sporazumu o financiranju</w:t>
      </w:r>
      <w:r w:rsidR="0052043C" w:rsidRPr="009C0B4C">
        <w:rPr>
          <w:rFonts w:ascii="Times New Roman" w:hAnsi="Times New Roman" w:cs="Times New Roman"/>
          <w:noProof/>
          <w:sz w:val="24"/>
          <w:szCs w:val="24"/>
        </w:rPr>
        <w:t>.</w:t>
      </w:r>
      <w:r w:rsidR="00657DEC"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6541" w:rsidRPr="009C0B4C">
        <w:rPr>
          <w:rFonts w:ascii="Times New Roman" w:hAnsi="Times New Roman" w:cs="Times New Roman"/>
          <w:noProof/>
          <w:sz w:val="24"/>
          <w:szCs w:val="24"/>
        </w:rPr>
        <w:t>Ostvarenje</w:t>
      </w:r>
      <w:r w:rsidR="000B208D" w:rsidRPr="009C0B4C">
        <w:rPr>
          <w:rFonts w:ascii="Times New Roman" w:hAnsi="Times New Roman" w:cs="Times New Roman"/>
          <w:noProof/>
          <w:sz w:val="24"/>
          <w:szCs w:val="24"/>
        </w:rPr>
        <w:t xml:space="preserve"> u odnosu na isto prošlogodišnje razdoblje je </w:t>
      </w:r>
      <w:r w:rsidR="00E21894">
        <w:rPr>
          <w:rFonts w:ascii="Times New Roman" w:hAnsi="Times New Roman" w:cs="Times New Roman"/>
          <w:noProof/>
          <w:sz w:val="24"/>
          <w:szCs w:val="24"/>
        </w:rPr>
        <w:t xml:space="preserve">veće za 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25,77</w:t>
      </w:r>
      <w:r w:rsidR="000B208D" w:rsidRPr="00D75963">
        <w:rPr>
          <w:rFonts w:ascii="Times New Roman" w:hAnsi="Times New Roman" w:cs="Times New Roman"/>
          <w:noProof/>
          <w:sz w:val="24"/>
          <w:szCs w:val="24"/>
        </w:rPr>
        <w:t>%</w:t>
      </w:r>
      <w:r w:rsidR="000B208D" w:rsidRPr="009C0B4C">
        <w:rPr>
          <w:rFonts w:ascii="Times New Roman" w:hAnsi="Times New Roman" w:cs="Times New Roman"/>
          <w:noProof/>
          <w:sz w:val="24"/>
          <w:szCs w:val="24"/>
        </w:rPr>
        <w:t xml:space="preserve"> jer su povećani rashodi koji se financiraju od osnivača</w:t>
      </w:r>
      <w:r w:rsidR="0052043C" w:rsidRPr="009C0B4C">
        <w:rPr>
          <w:rFonts w:ascii="Times New Roman" w:hAnsi="Times New Roman" w:cs="Times New Roman"/>
          <w:noProof/>
          <w:sz w:val="24"/>
          <w:szCs w:val="24"/>
        </w:rPr>
        <w:t xml:space="preserve"> JVP Pula</w:t>
      </w:r>
      <w:r w:rsidR="000B208D" w:rsidRPr="009C0B4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B141D6B" w14:textId="54A76C13" w:rsidR="00E21894" w:rsidRDefault="009C0B4C" w:rsidP="00E218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  <w:r w:rsidRPr="006A7BAC">
        <w:rPr>
          <w:rFonts w:ascii="Times New Roman" w:hAnsi="Times New Roman" w:cs="Times New Roman"/>
          <w:b/>
          <w:bCs/>
          <w:noProof/>
          <w:sz w:val="24"/>
          <w:szCs w:val="24"/>
        </w:rPr>
        <w:t>2.</w:t>
      </w:r>
      <w:r w:rsidRPr="009C0B4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bookmarkEnd w:id="3"/>
      <w:r w:rsidRPr="009C0B4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Prihodi po posebnim propisima</w:t>
      </w:r>
      <w:r w:rsidRPr="009C0B4C">
        <w:rPr>
          <w:rFonts w:ascii="Times New Roman" w:hAnsi="Times New Roman" w:cs="Times New Roman"/>
          <w:noProof/>
          <w:sz w:val="24"/>
          <w:szCs w:val="24"/>
        </w:rPr>
        <w:t xml:space="preserve"> (skupina 65) u </w:t>
      </w:r>
      <w:r w:rsidRPr="00D75963">
        <w:rPr>
          <w:rFonts w:ascii="Times New Roman" w:hAnsi="Times New Roman" w:cs="Times New Roman"/>
          <w:noProof/>
          <w:sz w:val="24"/>
          <w:szCs w:val="24"/>
        </w:rPr>
        <w:t>iznosu 3</w:t>
      </w:r>
      <w:r w:rsidR="00812670" w:rsidRPr="00D75963">
        <w:rPr>
          <w:rFonts w:ascii="Times New Roman" w:hAnsi="Times New Roman" w:cs="Times New Roman"/>
          <w:noProof/>
          <w:sz w:val="24"/>
          <w:szCs w:val="24"/>
        </w:rPr>
        <w:t>6</w:t>
      </w:r>
      <w:r w:rsidRPr="00D75963">
        <w:rPr>
          <w:rFonts w:ascii="Times New Roman" w:hAnsi="Times New Roman" w:cs="Times New Roman"/>
          <w:noProof/>
          <w:sz w:val="24"/>
          <w:szCs w:val="24"/>
        </w:rPr>
        <w:t>,</w:t>
      </w:r>
      <w:r w:rsidR="00812670" w:rsidRPr="00D75963">
        <w:rPr>
          <w:rFonts w:ascii="Times New Roman" w:hAnsi="Times New Roman" w:cs="Times New Roman"/>
          <w:noProof/>
          <w:sz w:val="24"/>
          <w:szCs w:val="24"/>
        </w:rPr>
        <w:t>21</w:t>
      </w:r>
      <w:r w:rsidRPr="00D75963">
        <w:rPr>
          <w:rFonts w:ascii="Times New Roman" w:hAnsi="Times New Roman" w:cs="Times New Roman"/>
          <w:noProof/>
          <w:sz w:val="24"/>
          <w:szCs w:val="24"/>
        </w:rPr>
        <w:t xml:space="preserve"> EUR</w:t>
      </w:r>
      <w:r w:rsidRPr="009C0B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2670">
        <w:rPr>
          <w:rFonts w:ascii="Times New Roman" w:hAnsi="Times New Roman" w:cs="Times New Roman"/>
          <w:noProof/>
          <w:sz w:val="24"/>
          <w:szCs w:val="24"/>
        </w:rPr>
        <w:t xml:space="preserve">uglavnom </w:t>
      </w:r>
      <w:r w:rsidRPr="009C0B4C">
        <w:rPr>
          <w:rFonts w:ascii="Times New Roman" w:hAnsi="Times New Roman" w:cs="Times New Roman"/>
          <w:noProof/>
          <w:sz w:val="24"/>
          <w:szCs w:val="24"/>
        </w:rPr>
        <w:t>čine</w:t>
      </w:r>
      <w:r w:rsidR="008126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679E" w:rsidRPr="006A7BAC">
        <w:rPr>
          <w:rFonts w:ascii="Times New Roman" w:hAnsi="Times New Roman" w:cs="Times New Roman"/>
          <w:noProof/>
          <w:sz w:val="24"/>
          <w:szCs w:val="24"/>
        </w:rPr>
        <w:t>prihodi od refundacija troškova mobitela</w:t>
      </w:r>
      <w:r w:rsidR="0081267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A7BAC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Ostvarenje u odnosu na isto prošlogodišnje razdoblje 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je </w:t>
      </w:r>
      <w:r w:rsidR="00812670"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15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,</w:t>
      </w:r>
      <w:r w:rsidR="00812670"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4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2</w:t>
      </w:r>
      <w:r w:rsidRPr="006A7BAC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% jer je prethodne godine </w:t>
      </w:r>
      <w:r w:rsidR="00812670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ostvaren prihod od</w:t>
      </w:r>
      <w:r w:rsidRPr="006A7BAC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</w:t>
      </w:r>
      <w:r w:rsidR="00812670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naplate novčane kazne radniku JVP Pula</w:t>
      </w:r>
      <w:r w:rsidR="008F2A12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, a ove godine nema takvog prihoda</w:t>
      </w:r>
      <w:r w:rsidR="00812670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.</w:t>
      </w:r>
    </w:p>
    <w:p w14:paraId="28EE2963" w14:textId="62C9998A" w:rsidR="00812670" w:rsidRPr="009C0B4C" w:rsidRDefault="00812670" w:rsidP="00E218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</w:t>
      </w:r>
    </w:p>
    <w:p w14:paraId="67832FF4" w14:textId="33D36A7D" w:rsidR="00C61D89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3</w:t>
      </w:r>
      <w:r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.  </w:t>
      </w:r>
      <w:r w:rsidR="00657DEC"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Prihodi od prodaje robe, pruženih usluga </w:t>
      </w:r>
      <w:r w:rsidR="00C61D89"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</w:t>
      </w:r>
      <w:r w:rsidR="00657DEC"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primljenih donacija</w:t>
      </w:r>
      <w:r w:rsidR="00657DEC" w:rsidRPr="006A7BAC">
        <w:rPr>
          <w:rFonts w:ascii="Times New Roman" w:hAnsi="Times New Roman" w:cs="Times New Roman"/>
          <w:noProof/>
          <w:sz w:val="24"/>
          <w:szCs w:val="24"/>
        </w:rPr>
        <w:t xml:space="preserve"> (skupina 66) u iznosu </w:t>
      </w:r>
      <w:r w:rsidR="004A457D" w:rsidRPr="00D75963">
        <w:rPr>
          <w:rFonts w:ascii="Times New Roman" w:hAnsi="Times New Roman" w:cs="Times New Roman"/>
          <w:noProof/>
          <w:sz w:val="24"/>
          <w:szCs w:val="24"/>
        </w:rPr>
        <w:t>1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8</w:t>
      </w:r>
      <w:r w:rsidR="004A457D" w:rsidRPr="00D75963">
        <w:rPr>
          <w:rFonts w:ascii="Times New Roman" w:hAnsi="Times New Roman" w:cs="Times New Roman"/>
          <w:noProof/>
          <w:sz w:val="24"/>
          <w:szCs w:val="24"/>
        </w:rPr>
        <w:t>.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511</w:t>
      </w:r>
      <w:r w:rsidR="004A457D" w:rsidRPr="00D75963">
        <w:rPr>
          <w:rFonts w:ascii="Times New Roman" w:hAnsi="Times New Roman" w:cs="Times New Roman"/>
          <w:noProof/>
          <w:sz w:val="24"/>
          <w:szCs w:val="24"/>
        </w:rPr>
        <w:t>,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54</w:t>
      </w:r>
      <w:r w:rsidR="00E90530" w:rsidRPr="006A7BAC">
        <w:rPr>
          <w:rFonts w:ascii="Times New Roman" w:hAnsi="Times New Roman" w:cs="Times New Roman"/>
          <w:noProof/>
          <w:sz w:val="24"/>
          <w:szCs w:val="24"/>
        </w:rPr>
        <w:t xml:space="preserve"> EUR</w:t>
      </w:r>
      <w:r w:rsidR="00D5382A" w:rsidRPr="006A7BAC">
        <w:rPr>
          <w:rFonts w:ascii="Times New Roman" w:hAnsi="Times New Roman" w:cs="Times New Roman"/>
          <w:noProof/>
          <w:sz w:val="24"/>
          <w:szCs w:val="24"/>
        </w:rPr>
        <w:t xml:space="preserve"> čine:</w:t>
      </w:r>
      <w:r w:rsidR="00E66246" w:rsidRPr="006A7B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364BF25" w14:textId="056D29AA" w:rsidR="00C61D89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="00D5382A" w:rsidRPr="006A7BAC">
        <w:rPr>
          <w:rFonts w:ascii="Times New Roman" w:hAnsi="Times New Roman" w:cs="Times New Roman"/>
          <w:noProof/>
          <w:sz w:val="24"/>
          <w:szCs w:val="24"/>
        </w:rPr>
        <w:t>p</w:t>
      </w:r>
      <w:r w:rsidR="00C61D89" w:rsidRPr="006A7BAC">
        <w:rPr>
          <w:rFonts w:ascii="Times New Roman" w:hAnsi="Times New Roman" w:cs="Times New Roman"/>
          <w:noProof/>
          <w:sz w:val="24"/>
          <w:szCs w:val="24"/>
        </w:rPr>
        <w:t xml:space="preserve">rihodi ostvareni obavljanjem vlastite djelatnosti, odnosno pružanjem usluga nadzora vatrodojavnog sustava, prijevoza vode i sl. u </w:t>
      </w:r>
      <w:r w:rsidR="00C61D89" w:rsidRPr="00D75963">
        <w:rPr>
          <w:rFonts w:ascii="Times New Roman" w:hAnsi="Times New Roman" w:cs="Times New Roman"/>
          <w:noProof/>
          <w:sz w:val="24"/>
          <w:szCs w:val="24"/>
        </w:rPr>
        <w:t xml:space="preserve">iznosu </w:t>
      </w:r>
      <w:r w:rsidR="004A457D" w:rsidRPr="00D75963">
        <w:rPr>
          <w:rFonts w:ascii="Times New Roman" w:hAnsi="Times New Roman" w:cs="Times New Roman"/>
          <w:noProof/>
          <w:sz w:val="24"/>
          <w:szCs w:val="24"/>
        </w:rPr>
        <w:t>1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7</w:t>
      </w:r>
      <w:r w:rsidR="004A457D" w:rsidRPr="00D75963">
        <w:rPr>
          <w:rFonts w:ascii="Times New Roman" w:hAnsi="Times New Roman" w:cs="Times New Roman"/>
          <w:noProof/>
          <w:sz w:val="24"/>
          <w:szCs w:val="24"/>
        </w:rPr>
        <w:t>.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701,54</w:t>
      </w:r>
      <w:r w:rsidR="00E90530" w:rsidRPr="00D75963">
        <w:rPr>
          <w:rFonts w:ascii="Times New Roman" w:hAnsi="Times New Roman" w:cs="Times New Roman"/>
          <w:noProof/>
          <w:sz w:val="24"/>
          <w:szCs w:val="24"/>
        </w:rPr>
        <w:t xml:space="preserve"> EUR</w:t>
      </w:r>
    </w:p>
    <w:p w14:paraId="2B8C56CB" w14:textId="7D45C06F" w:rsidR="00F15F18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="00F15F18" w:rsidRPr="000C4DE7">
        <w:rPr>
          <w:rFonts w:ascii="Times New Roman" w:hAnsi="Times New Roman" w:cs="Times New Roman"/>
          <w:noProof/>
          <w:sz w:val="24"/>
          <w:szCs w:val="24"/>
        </w:rPr>
        <w:t xml:space="preserve">primljena </w:t>
      </w:r>
      <w:r w:rsidR="006B14CE" w:rsidRPr="000C4DE7">
        <w:rPr>
          <w:rFonts w:ascii="Times New Roman" w:hAnsi="Times New Roman" w:cs="Times New Roman"/>
          <w:noProof/>
          <w:sz w:val="24"/>
          <w:szCs w:val="24"/>
        </w:rPr>
        <w:t>tekuća</w:t>
      </w:r>
      <w:r w:rsidR="00E90530" w:rsidRPr="000C4D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5F18" w:rsidRPr="000C4DE7">
        <w:rPr>
          <w:rFonts w:ascii="Times New Roman" w:hAnsi="Times New Roman" w:cs="Times New Roman"/>
          <w:noProof/>
          <w:sz w:val="24"/>
          <w:szCs w:val="24"/>
        </w:rPr>
        <w:t>donacija od</w:t>
      </w:r>
      <w:r w:rsidR="004A457D" w:rsidRPr="000C4DE7">
        <w:rPr>
          <w:rFonts w:ascii="Times New Roman" w:hAnsi="Times New Roman" w:cs="Times New Roman"/>
          <w:noProof/>
          <w:sz w:val="24"/>
          <w:szCs w:val="24"/>
        </w:rPr>
        <w:t xml:space="preserve"> trgovačkog društva </w:t>
      </w:r>
      <w:r w:rsidR="009D024A" w:rsidRPr="000C4DE7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4A457D" w:rsidRPr="000C4DE7">
        <w:rPr>
          <w:rFonts w:ascii="Times New Roman" w:hAnsi="Times New Roman" w:cs="Times New Roman"/>
          <w:noProof/>
          <w:sz w:val="24"/>
          <w:szCs w:val="24"/>
        </w:rPr>
        <w:t>iznosu</w:t>
      </w:r>
      <w:r w:rsidR="009D024A" w:rsidRPr="000C4DE7">
        <w:rPr>
          <w:rFonts w:ascii="Times New Roman" w:hAnsi="Times New Roman" w:cs="Times New Roman"/>
          <w:noProof/>
          <w:sz w:val="24"/>
          <w:szCs w:val="24"/>
        </w:rPr>
        <w:t xml:space="preserve"> od</w:t>
      </w:r>
      <w:r w:rsidR="00F15F18" w:rsidRPr="000C4D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B14CE" w:rsidRPr="000C4DE7">
        <w:rPr>
          <w:rFonts w:ascii="Times New Roman" w:hAnsi="Times New Roman" w:cs="Times New Roman"/>
          <w:noProof/>
          <w:sz w:val="24"/>
          <w:szCs w:val="24"/>
        </w:rPr>
        <w:t>810</w:t>
      </w:r>
      <w:r w:rsidR="004A457D" w:rsidRPr="000C4DE7">
        <w:rPr>
          <w:rFonts w:ascii="Times New Roman" w:hAnsi="Times New Roman" w:cs="Times New Roman"/>
          <w:noProof/>
          <w:sz w:val="24"/>
          <w:szCs w:val="24"/>
        </w:rPr>
        <w:t>,00</w:t>
      </w:r>
      <w:r w:rsidR="00456C7E" w:rsidRPr="000C4DE7">
        <w:rPr>
          <w:rFonts w:ascii="Times New Roman" w:hAnsi="Times New Roman" w:cs="Times New Roman"/>
          <w:noProof/>
          <w:sz w:val="24"/>
          <w:szCs w:val="24"/>
        </w:rPr>
        <w:t xml:space="preserve"> EUR</w:t>
      </w:r>
      <w:r w:rsidR="000B208D" w:rsidRPr="000C4DE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B7059D" w14:textId="32F70FD3" w:rsidR="000B208D" w:rsidRDefault="00766F7B" w:rsidP="006A7BA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  <w:r w:rsidRPr="006A7BAC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lastRenderedPageBreak/>
        <w:t>Ostvarenje u odnosu na isto</w:t>
      </w:r>
      <w:r w:rsidRPr="000B208D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prošlogodišnje razdoblje je </w:t>
      </w:r>
      <w:r w:rsidR="00E21894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veće za 1</w:t>
      </w:r>
      <w:r w:rsid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1,12</w:t>
      </w:r>
      <w:r w:rsidRPr="000B208D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%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, </w:t>
      </w:r>
      <w:r w:rsidR="000C4DE7"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zbog</w:t>
      </w:r>
      <w:r w:rsidRPr="00D7596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povećanja prihoda od prodaje proizvoda i robe te pruženih usluga zbog većeg broja korisnika usluga vatrodojave.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 </w:t>
      </w:r>
    </w:p>
    <w:p w14:paraId="2B791CBD" w14:textId="77777777" w:rsidR="00E21894" w:rsidRPr="000B208D" w:rsidRDefault="00E21894" w:rsidP="006A7BAC">
      <w:pPr>
        <w:spacing w:after="0" w:line="240" w:lineRule="auto"/>
        <w:rPr>
          <w:noProof/>
          <w:sz w:val="24"/>
          <w:szCs w:val="24"/>
        </w:rPr>
      </w:pPr>
    </w:p>
    <w:p w14:paraId="2F448706" w14:textId="13D5BA03" w:rsidR="00C61D89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4</w:t>
      </w:r>
      <w:r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.  </w:t>
      </w:r>
      <w:r w:rsidR="00A30F11" w:rsidRPr="006A7BA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Prihodi iz nadležnog proračuna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 xml:space="preserve"> (skupina 67) u iznosu </w:t>
      </w:r>
      <w:r w:rsidR="006A19DD" w:rsidRPr="00D75963">
        <w:rPr>
          <w:rFonts w:ascii="Times New Roman" w:hAnsi="Times New Roman" w:cs="Times New Roman"/>
          <w:noProof/>
          <w:sz w:val="24"/>
          <w:szCs w:val="24"/>
        </w:rPr>
        <w:t>1.2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93</w:t>
      </w:r>
      <w:r w:rsidR="006A19DD" w:rsidRPr="00D75963">
        <w:rPr>
          <w:rFonts w:ascii="Times New Roman" w:hAnsi="Times New Roman" w:cs="Times New Roman"/>
          <w:noProof/>
          <w:sz w:val="24"/>
          <w:szCs w:val="24"/>
        </w:rPr>
        <w:t>.</w:t>
      </w:r>
      <w:r w:rsidR="00D75963" w:rsidRPr="00D75963">
        <w:rPr>
          <w:rFonts w:ascii="Times New Roman" w:hAnsi="Times New Roman" w:cs="Times New Roman"/>
          <w:noProof/>
          <w:sz w:val="24"/>
          <w:szCs w:val="24"/>
        </w:rPr>
        <w:t>772,19</w:t>
      </w:r>
      <w:r w:rsidR="00456C7E" w:rsidRPr="006A7BAC">
        <w:rPr>
          <w:rFonts w:ascii="Times New Roman" w:hAnsi="Times New Roman" w:cs="Times New Roman"/>
          <w:noProof/>
          <w:sz w:val="24"/>
          <w:szCs w:val="24"/>
        </w:rPr>
        <w:t xml:space="preserve"> EUR </w:t>
      </w:r>
      <w:r w:rsidR="00D5382A" w:rsidRPr="006A7BAC">
        <w:rPr>
          <w:rFonts w:ascii="Times New Roman" w:hAnsi="Times New Roman" w:cs="Times New Roman"/>
          <w:noProof/>
          <w:sz w:val="24"/>
          <w:szCs w:val="24"/>
        </w:rPr>
        <w:t>čine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39F6C1" w14:textId="10F0AA5D" w:rsidR="00A30F11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="00FF6D5A" w:rsidRPr="006A7BAC">
        <w:rPr>
          <w:rFonts w:ascii="Times New Roman" w:hAnsi="Times New Roman" w:cs="Times New Roman"/>
          <w:noProof/>
          <w:sz w:val="24"/>
          <w:szCs w:val="24"/>
        </w:rPr>
        <w:t>prihodi za decentralizirane funkcije vatrogastva o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>stvaren</w:t>
      </w:r>
      <w:r w:rsidR="00B55ADB" w:rsidRPr="006A7BAC">
        <w:rPr>
          <w:rFonts w:ascii="Times New Roman" w:hAnsi="Times New Roman" w:cs="Times New Roman"/>
          <w:noProof/>
          <w:sz w:val="24"/>
          <w:szCs w:val="24"/>
        </w:rPr>
        <w:t>e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03E6" w:rsidRPr="006A7BAC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5E03E6" w:rsidRPr="00D75963">
        <w:rPr>
          <w:rFonts w:ascii="Times New Roman" w:hAnsi="Times New Roman" w:cs="Times New Roman"/>
          <w:noProof/>
          <w:sz w:val="24"/>
          <w:szCs w:val="24"/>
        </w:rPr>
        <w:t>iznosu 655.529,59 EUR</w:t>
      </w:r>
      <w:r w:rsidR="005E03E6" w:rsidRPr="006A7B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>temeljem Odluke o minimalnim financijskim standardima, kriterijima i mjerilima za financiranje rashoda javnih vatrogasnih postrojbi u 202</w:t>
      </w:r>
      <w:r w:rsidR="006B14CE">
        <w:rPr>
          <w:rFonts w:ascii="Times New Roman" w:hAnsi="Times New Roman" w:cs="Times New Roman"/>
          <w:noProof/>
          <w:sz w:val="24"/>
          <w:szCs w:val="24"/>
        </w:rPr>
        <w:t>5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 xml:space="preserve">. godini </w:t>
      </w:r>
    </w:p>
    <w:p w14:paraId="0479E22B" w14:textId="6E29588D" w:rsidR="006A19DD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="00B55ADB" w:rsidRPr="006A7BAC">
        <w:rPr>
          <w:rFonts w:ascii="Times New Roman" w:hAnsi="Times New Roman" w:cs="Times New Roman"/>
          <w:noProof/>
          <w:sz w:val="24"/>
          <w:szCs w:val="24"/>
        </w:rPr>
        <w:t>prihodi iz nadležnog proračuna Grada Pule</w:t>
      </w:r>
      <w:r w:rsidR="00D00AC3">
        <w:rPr>
          <w:rFonts w:ascii="Times New Roman" w:hAnsi="Times New Roman" w:cs="Times New Roman"/>
          <w:noProof/>
          <w:sz w:val="24"/>
          <w:szCs w:val="24"/>
        </w:rPr>
        <w:t>-Pola</w:t>
      </w:r>
      <w:r w:rsidR="00B55ADB" w:rsidRPr="006A7BAC">
        <w:rPr>
          <w:rFonts w:ascii="Times New Roman" w:hAnsi="Times New Roman" w:cs="Times New Roman"/>
          <w:noProof/>
          <w:sz w:val="24"/>
          <w:szCs w:val="24"/>
        </w:rPr>
        <w:t xml:space="preserve"> za financiranje rashoda poslovanja </w:t>
      </w:r>
      <w:r w:rsidR="00A30F11" w:rsidRPr="006A7BAC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D75963">
        <w:rPr>
          <w:rFonts w:ascii="Times New Roman" w:hAnsi="Times New Roman" w:cs="Times New Roman"/>
          <w:noProof/>
          <w:sz w:val="24"/>
          <w:szCs w:val="24"/>
        </w:rPr>
        <w:t>637.135,54</w:t>
      </w:r>
      <w:r w:rsidR="00456C7E" w:rsidRPr="006A7BAC">
        <w:rPr>
          <w:rFonts w:ascii="Times New Roman" w:hAnsi="Times New Roman" w:cs="Times New Roman"/>
          <w:noProof/>
          <w:sz w:val="24"/>
          <w:szCs w:val="24"/>
        </w:rPr>
        <w:t xml:space="preserve"> EUR</w:t>
      </w:r>
    </w:p>
    <w:p w14:paraId="56319BAC" w14:textId="70F91A7E" w:rsidR="006A19DD" w:rsidRPr="006A7BAC" w:rsidRDefault="006A7BAC" w:rsidP="006A7B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7BAC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="006A19DD" w:rsidRPr="006A7BAC">
        <w:rPr>
          <w:rFonts w:ascii="Times New Roman" w:hAnsi="Times New Roman" w:cs="Times New Roman"/>
          <w:noProof/>
          <w:sz w:val="24"/>
          <w:szCs w:val="24"/>
        </w:rPr>
        <w:t>prihodi iz nadležnog proračuna Grada Pule</w:t>
      </w:r>
      <w:r w:rsidR="00D00AC3">
        <w:rPr>
          <w:rFonts w:ascii="Times New Roman" w:hAnsi="Times New Roman" w:cs="Times New Roman"/>
          <w:noProof/>
          <w:sz w:val="24"/>
          <w:szCs w:val="24"/>
        </w:rPr>
        <w:t>-Pola</w:t>
      </w:r>
      <w:r w:rsidR="006A19DD" w:rsidRPr="006A7BAC">
        <w:rPr>
          <w:rFonts w:ascii="Times New Roman" w:hAnsi="Times New Roman" w:cs="Times New Roman"/>
          <w:noProof/>
          <w:sz w:val="24"/>
          <w:szCs w:val="24"/>
        </w:rPr>
        <w:t xml:space="preserve"> za financiranje rashoda za nabavu nefinancijske imovine u iznosu od </w:t>
      </w:r>
      <w:r w:rsidR="00D75963">
        <w:rPr>
          <w:rFonts w:ascii="Times New Roman" w:hAnsi="Times New Roman" w:cs="Times New Roman"/>
          <w:noProof/>
          <w:sz w:val="24"/>
          <w:szCs w:val="24"/>
        </w:rPr>
        <w:t>1.107,06</w:t>
      </w:r>
      <w:r w:rsidR="006A19DD" w:rsidRPr="006A7BAC">
        <w:rPr>
          <w:rFonts w:ascii="Times New Roman" w:hAnsi="Times New Roman" w:cs="Times New Roman"/>
          <w:noProof/>
          <w:sz w:val="24"/>
          <w:szCs w:val="24"/>
        </w:rPr>
        <w:t xml:space="preserve"> EUR.</w:t>
      </w:r>
    </w:p>
    <w:p w14:paraId="4CD2431A" w14:textId="192C2976" w:rsidR="00202ED9" w:rsidRPr="00766F7B" w:rsidRDefault="00766F7B" w:rsidP="006A7BAC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  <w:r w:rsidRPr="00766F7B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Ostvarenje u odnosu na isto prošlogodišnje razdoblje </w:t>
      </w:r>
      <w:r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je 1</w:t>
      </w:r>
      <w:r w:rsidR="00D75963"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06</w:t>
      </w:r>
      <w:r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,</w:t>
      </w:r>
      <w:r w:rsidR="00D75963"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46</w:t>
      </w:r>
      <w:r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% </w:t>
      </w:r>
      <w:r w:rsidR="00C56444" w:rsidRP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prvenstveno</w:t>
      </w:r>
      <w:r w:rsidR="00C56444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</w:t>
      </w:r>
      <w:r w:rsidRPr="00766F7B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iz razloga jer su povećani rashodi koji se financiraju od strane osnivača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 Grada Pule</w:t>
      </w:r>
      <w:r w:rsidR="00D00AC3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-Pola</w:t>
      </w:r>
      <w:r w:rsidR="00C56444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. </w:t>
      </w:r>
    </w:p>
    <w:p w14:paraId="11A42B42" w14:textId="7229426C" w:rsidR="00E07308" w:rsidRDefault="00B13EAA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  <w:r w:rsidRPr="00B13EAA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U nastavku slijedi tabelarni prikaz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strukture ostvarenja prihoda po podskupinama za izvještajno razdoblje siječanj – lipanj 202</w:t>
      </w:r>
      <w:r w:rsidR="006B14CE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. </w:t>
      </w:r>
      <w:r w:rsidR="006D0170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 xml:space="preserve">odine (Tabela </w:t>
      </w:r>
      <w:r w:rsidR="00E07308"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  <w:t>br. 1).</w:t>
      </w:r>
    </w:p>
    <w:p w14:paraId="10381450" w14:textId="77777777" w:rsidR="00844FCF" w:rsidRDefault="00844FCF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</w:p>
    <w:p w14:paraId="71393C9A" w14:textId="1E0A53DF" w:rsidR="00E07308" w:rsidRPr="006D0170" w:rsidRDefault="006D0170" w:rsidP="00B13EA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AU" w:eastAsia="hr-HR"/>
        </w:rPr>
      </w:pPr>
      <w:r w:rsidRPr="006D01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AU" w:eastAsia="hr-HR"/>
        </w:rPr>
        <w:t>Tabela br. 1.  Prikaz strukture ostvarenih prihoda po podskupinama za razdoblje siječanj – lipanj 202</w:t>
      </w:r>
      <w:r w:rsidR="006B14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AU" w:eastAsia="hr-HR"/>
        </w:rPr>
        <w:t>5</w:t>
      </w:r>
      <w:r w:rsidRPr="006D01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AU" w:eastAsia="hr-HR"/>
        </w:rPr>
        <w:t>. godine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949"/>
        <w:gridCol w:w="1559"/>
        <w:gridCol w:w="1559"/>
      </w:tblGrid>
      <w:tr w:rsidR="003028D0" w:rsidRPr="003028D0" w14:paraId="39BB3083" w14:textId="77777777" w:rsidTr="009079C3">
        <w:trPr>
          <w:trHeight w:val="67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CAFE6" w14:textId="77777777" w:rsidR="003028D0" w:rsidRPr="003028D0" w:rsidRDefault="003028D0" w:rsidP="0030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4FC4D" w14:textId="77777777" w:rsidR="003028D0" w:rsidRPr="003028D0" w:rsidRDefault="003028D0" w:rsidP="0030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Ostvareni prihodi 1.1.-30.6.2025.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FCA92" w14:textId="77777777" w:rsidR="003028D0" w:rsidRPr="003028D0" w:rsidRDefault="003028D0" w:rsidP="0030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% udjela u ostvarenim prihodima</w:t>
            </w:r>
          </w:p>
        </w:tc>
      </w:tr>
      <w:tr w:rsidR="005E03E6" w:rsidRPr="003028D0" w14:paraId="0B23AA79" w14:textId="77777777" w:rsidTr="009079C3">
        <w:trPr>
          <w:trHeight w:val="21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AB3" w14:textId="301CAA00" w:rsidR="005E03E6" w:rsidRPr="003028D0" w:rsidRDefault="005E03E6" w:rsidP="00302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AFCC" w14:textId="2A28B034" w:rsidR="005E03E6" w:rsidRPr="003028D0" w:rsidRDefault="005E03E6" w:rsidP="0030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1.293.772,19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1F18" w14:textId="52CB6C65" w:rsidR="005E03E6" w:rsidRPr="003028D0" w:rsidRDefault="005E03E6" w:rsidP="0030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74,00%</w:t>
            </w:r>
          </w:p>
        </w:tc>
      </w:tr>
      <w:tr w:rsidR="00A37445" w:rsidRPr="003028D0" w14:paraId="77EF57F6" w14:textId="77777777" w:rsidTr="009079C3">
        <w:trPr>
          <w:trHeight w:val="21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4A47" w14:textId="0C62BC12" w:rsidR="00A37445" w:rsidRPr="003028D0" w:rsidRDefault="00A37445" w:rsidP="00A37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4E9F" w14:textId="03452016" w:rsidR="00A37445" w:rsidRPr="003028D0" w:rsidRDefault="00A37445" w:rsidP="00A3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436.060,00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18E1" w14:textId="0DECAC5C" w:rsidR="00A37445" w:rsidRPr="003028D0" w:rsidRDefault="00A37445" w:rsidP="00A37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24,94%</w:t>
            </w:r>
          </w:p>
        </w:tc>
      </w:tr>
      <w:tr w:rsidR="00A37445" w:rsidRPr="003028D0" w14:paraId="62F56183" w14:textId="77777777" w:rsidTr="009079C3">
        <w:trPr>
          <w:trHeight w:val="1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119" w14:textId="77777777" w:rsidR="00A37445" w:rsidRPr="003028D0" w:rsidRDefault="00A37445" w:rsidP="00A37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193" w14:textId="77777777" w:rsidR="00A37445" w:rsidRPr="003028D0" w:rsidRDefault="00A37445" w:rsidP="00A3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17.701,54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F7E8" w14:textId="77777777" w:rsidR="00A37445" w:rsidRPr="003028D0" w:rsidRDefault="00A37445" w:rsidP="00A37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1,01%</w:t>
            </w:r>
          </w:p>
        </w:tc>
      </w:tr>
      <w:tr w:rsidR="00A37445" w:rsidRPr="003028D0" w14:paraId="233EA336" w14:textId="77777777" w:rsidTr="009079C3">
        <w:trPr>
          <w:trHeight w:val="15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D72" w14:textId="77777777" w:rsidR="00A37445" w:rsidRPr="003028D0" w:rsidRDefault="00A37445" w:rsidP="00A37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BCF9" w14:textId="77777777" w:rsidR="00A37445" w:rsidRPr="003028D0" w:rsidRDefault="00A37445" w:rsidP="00A3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7FD" w14:textId="77777777" w:rsidR="00A37445" w:rsidRPr="003028D0" w:rsidRDefault="00A37445" w:rsidP="00A37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0,05%</w:t>
            </w:r>
          </w:p>
        </w:tc>
      </w:tr>
      <w:tr w:rsidR="00A37445" w:rsidRPr="003028D0" w14:paraId="4FDFF36F" w14:textId="77777777" w:rsidTr="00A37445">
        <w:trPr>
          <w:trHeight w:val="24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011F" w14:textId="7B50D941" w:rsidR="00A37445" w:rsidRPr="003028D0" w:rsidRDefault="00A37445" w:rsidP="00A37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C613" w14:textId="3336FC0C" w:rsidR="00A37445" w:rsidRPr="003028D0" w:rsidRDefault="00A37445" w:rsidP="00A3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923" w14:textId="0713DE03" w:rsidR="00A37445" w:rsidRPr="003028D0" w:rsidRDefault="00A37445" w:rsidP="00A37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A37445" w:rsidRPr="003028D0" w14:paraId="4071F960" w14:textId="77777777" w:rsidTr="00486B7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ABC7E" w14:textId="77777777" w:rsidR="00A37445" w:rsidRPr="003028D0" w:rsidRDefault="00A37445" w:rsidP="00A37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E1F71" w14:textId="77777777" w:rsidR="00A37445" w:rsidRPr="003028D0" w:rsidRDefault="00A37445" w:rsidP="00A37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1.748.379,94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8FA95" w14:textId="77777777" w:rsidR="00A37445" w:rsidRPr="003028D0" w:rsidRDefault="00A37445" w:rsidP="00A37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28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</w:tbl>
    <w:p w14:paraId="7CEC9268" w14:textId="77777777" w:rsidR="003028D0" w:rsidRDefault="003028D0" w:rsidP="00B13EAA">
      <w:pP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</w:p>
    <w:p w14:paraId="4C1CFF66" w14:textId="77777777" w:rsidR="00844FCF" w:rsidRDefault="00844FCF" w:rsidP="00B13EAA">
      <w:pPr>
        <w:rPr>
          <w:rFonts w:ascii="Times New Roman" w:eastAsia="Times New Roman" w:hAnsi="Times New Roman" w:cs="Times New Roman"/>
          <w:noProof/>
          <w:sz w:val="24"/>
          <w:szCs w:val="24"/>
          <w:lang w:val="en-AU" w:eastAsia="hr-HR"/>
        </w:rPr>
      </w:pPr>
    </w:p>
    <w:p w14:paraId="587E9E95" w14:textId="11D8F0BA" w:rsidR="00C242A2" w:rsidRPr="00C242A2" w:rsidRDefault="00C242A2" w:rsidP="00C242A2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242A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RASHODI </w:t>
      </w:r>
    </w:p>
    <w:p w14:paraId="7A3E4575" w14:textId="2ECF58E5" w:rsidR="00C4217B" w:rsidRDefault="004F0017" w:rsidP="00B27CA0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Ukupni rashodi ostvareni u </w:t>
      </w:r>
      <w:r w:rsidR="00A3744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izvještajnom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razdoblju 01.01. - 3</w:t>
      </w:r>
      <w:r w:rsidR="00323FC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23FC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.202</w:t>
      </w:r>
      <w:r w:rsidR="0049012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godine iznose </w:t>
      </w:r>
      <w:r w:rsidR="007B22F6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</w:t>
      </w:r>
      <w:r w:rsidR="003028D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833</w:t>
      </w:r>
      <w:r w:rsid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.581,81</w:t>
      </w:r>
      <w:r w:rsidR="00323FC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421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što čini ostvarenje od </w:t>
      </w:r>
      <w:r w:rsid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40,84</w:t>
      </w:r>
      <w:r w:rsidR="00C421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odnosu na plan</w:t>
      </w:r>
      <w:r w:rsidR="00C421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odnosno </w:t>
      </w:r>
      <w:r w:rsid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119,42</w:t>
      </w:r>
      <w:r w:rsidR="00C421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u odnosu na </w:t>
      </w:r>
      <w:r w:rsidR="006933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isto prošlogodišnje razdoblje.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C7315B4" w14:textId="39560BB4" w:rsidR="00D253D5" w:rsidRDefault="0069335D" w:rsidP="00B27CA0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</w:t>
      </w:r>
      <w:r w:rsidR="004F001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rashodi </w:t>
      </w:r>
      <w:r w:rsidR="00A3744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gotovo u cijelosti se </w:t>
      </w:r>
      <w:r w:rsidR="004F001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odnose na rashode </w:t>
      </w:r>
      <w:r w:rsidR="004F0017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poslovanja u iznosu od </w:t>
      </w:r>
      <w:r w:rsidR="0069335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</w:t>
      </w:r>
      <w:r w:rsidR="003028D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831.969,75</w:t>
      </w:r>
      <w:r w:rsidR="0069335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="004F0017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čije je ostvarenje </w:t>
      </w:r>
      <w:r w:rsidR="0069335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3028D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69335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3028D0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83</w:t>
      </w:r>
      <w:r w:rsidR="00C4217B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</w:t>
      </w:r>
      <w:r w:rsidR="004F0017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odnosu na plan, </w:t>
      </w:r>
      <w:r w:rsidR="00A3744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 manjim dijelom se odnose</w:t>
      </w:r>
      <w:r w:rsidR="004F0017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 r</w:t>
      </w:r>
      <w:r w:rsidR="00132E79" w:rsidRP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ashode</w:t>
      </w:r>
      <w:r w:rsidR="00132E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nabavu nefinancijske imovine u iznosu od </w:t>
      </w:r>
      <w:r w:rsid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1.612,06</w:t>
      </w:r>
      <w:r w:rsidR="006933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="00132E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</w:t>
      </w:r>
      <w:r w:rsidR="006933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predstavlja</w:t>
      </w:r>
      <w:r w:rsidR="00132E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ostvarenje od </w:t>
      </w:r>
      <w:r w:rsidR="003028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0,33</w:t>
      </w:r>
      <w:r w:rsidR="00132E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 odnosu na plan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132E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E5523F0" w14:textId="21417DC2" w:rsidR="00C93494" w:rsidRDefault="00646A7C" w:rsidP="00C93494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nastavku slijedi tabelarni prikaz planiranih i ostvarenih rashoda po skupinama za izvještajno </w:t>
      </w:r>
      <w:r w:rsidR="00C934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razdoblje siječanj – </w:t>
      </w:r>
      <w:r w:rsidR="006933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lipanj</w:t>
      </w:r>
      <w:r w:rsidR="00C934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4A64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C934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(Tabela br. </w:t>
      </w:r>
      <w:r w:rsidR="008B77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B867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te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tabelarni prikaz strukture ostvarenja rashoda po skupinama za izvještajno razdoblje siječanj – lipanj 202</w:t>
      </w:r>
      <w:r w:rsidR="004A64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(Tabela br. </w:t>
      </w:r>
      <w:r w:rsidR="008B77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CE3E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 koje je vidljivo da 92,72% rashoda čine rashodi za zaposlene.</w:t>
      </w:r>
    </w:p>
    <w:p w14:paraId="2ABD728D" w14:textId="77777777" w:rsidR="00844FCF" w:rsidRDefault="00844FCF" w:rsidP="00C93494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26EC0BD" w14:textId="0F4125DA" w:rsidR="00646A7C" w:rsidRDefault="00646A7C" w:rsidP="006A7BAC">
      <w:pPr>
        <w:spacing w:after="0" w:line="257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t xml:space="preserve">Tabela br. </w:t>
      </w:r>
      <w:r w:rsidR="008B77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. </w:t>
      </w: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Planirani i ostvareni ra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</w:t>
      </w: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hodi po skupinama za izvještajno razdoblje siječanj – lipanj 202</w:t>
      </w:r>
      <w:r w:rsidR="004A64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 godine</w:t>
      </w:r>
    </w:p>
    <w:tbl>
      <w:tblPr>
        <w:tblW w:w="9682" w:type="dxa"/>
        <w:tblInd w:w="-5" w:type="dxa"/>
        <w:tblLook w:val="04A0" w:firstRow="1" w:lastRow="0" w:firstColumn="1" w:lastColumn="0" w:noHBand="0" w:noVBand="1"/>
      </w:tblPr>
      <w:tblGrid>
        <w:gridCol w:w="5103"/>
        <w:gridCol w:w="1569"/>
        <w:gridCol w:w="1550"/>
        <w:gridCol w:w="1460"/>
      </w:tblGrid>
      <w:tr w:rsidR="00254AFE" w:rsidRPr="00254AFE" w14:paraId="313EFA62" w14:textId="77777777" w:rsidTr="009079C3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B81A4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92DF1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Planirani rashodi  za 2025.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46DB0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Ostvareni rashodi 1.1.-30.6.2025.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0CB95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% ostvarenja u odnosu na plan</w:t>
            </w:r>
          </w:p>
        </w:tc>
      </w:tr>
      <w:tr w:rsidR="00254AFE" w:rsidRPr="00254AFE" w14:paraId="5FF5ED96" w14:textId="77777777" w:rsidTr="00254AFE">
        <w:trPr>
          <w:trHeight w:val="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0C4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DC3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3.517.000,00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486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1.700.084,22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C4A0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48,34%</w:t>
            </w:r>
          </w:p>
        </w:tc>
      </w:tr>
      <w:tr w:rsidR="00254AFE" w:rsidRPr="00254AFE" w14:paraId="648A035D" w14:textId="77777777" w:rsidTr="00254AFE">
        <w:trPr>
          <w:trHeight w:val="2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DEC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F4B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474.000,00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421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131.884,81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E68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27,82%</w:t>
            </w:r>
          </w:p>
        </w:tc>
      </w:tr>
      <w:tr w:rsidR="00254AFE" w:rsidRPr="00254AFE" w14:paraId="6D4E0F0F" w14:textId="77777777" w:rsidTr="00254AFE">
        <w:trPr>
          <w:trHeight w:val="1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318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050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034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BBFF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0,72%</w:t>
            </w:r>
          </w:p>
        </w:tc>
      </w:tr>
      <w:tr w:rsidR="00254AFE" w:rsidRPr="00254AFE" w14:paraId="4ECA0DE5" w14:textId="77777777" w:rsidTr="00254AFE">
        <w:trPr>
          <w:trHeight w:val="2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A217" w14:textId="130EE87C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građanima i </w:t>
            </w:r>
            <w:proofErr w:type="spellStart"/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kućan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. </w:t>
            </w: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 temelju osiguranja i dr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F12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72E6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7D6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254AFE" w:rsidRPr="00254AFE" w14:paraId="2C03FEC0" w14:textId="77777777" w:rsidTr="00254AFE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A07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E3C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3.997.100,00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668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1.831.969,75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FFA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45,83%</w:t>
            </w:r>
          </w:p>
        </w:tc>
      </w:tr>
      <w:tr w:rsidR="00254AFE" w:rsidRPr="00254AFE" w14:paraId="64F152B0" w14:textId="77777777" w:rsidTr="00254AFE">
        <w:trPr>
          <w:trHeight w:val="2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8ED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963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492.900,00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3E8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1.612,06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D49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0,33%</w:t>
            </w:r>
          </w:p>
        </w:tc>
      </w:tr>
      <w:tr w:rsidR="00254AFE" w:rsidRPr="00254AFE" w14:paraId="17F95DF9" w14:textId="77777777" w:rsidTr="00254AFE">
        <w:trPr>
          <w:trHeight w:val="1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A7C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3C7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492.900,00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C3FE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1.612,06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B3ED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0,33%</w:t>
            </w:r>
          </w:p>
        </w:tc>
      </w:tr>
      <w:tr w:rsidR="00254AFE" w:rsidRPr="00254AFE" w14:paraId="735858E4" w14:textId="77777777" w:rsidTr="00254AFE">
        <w:trPr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6C8E3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A5857B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E916E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1.833.581,81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1E0952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40,84%</w:t>
            </w:r>
          </w:p>
        </w:tc>
      </w:tr>
      <w:tr w:rsidR="00254AFE" w:rsidRPr="00254AFE" w14:paraId="5AAF7EEE" w14:textId="77777777" w:rsidTr="00B90E20">
        <w:trPr>
          <w:trHeight w:val="2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376AB0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04C7C4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707E46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A9159F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FB05BCB" w14:textId="0A132FDA" w:rsidR="00C93494" w:rsidRDefault="00646A7C" w:rsidP="006A7BAC">
      <w:pPr>
        <w:spacing w:after="0" w:line="257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Tabela br. </w:t>
      </w:r>
      <w:r w:rsidR="008B77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  <w:r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C93494"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Udio pojedine skupine izvršenih rashoda u ukupnim rashodima za razdoblje siječanj</w:t>
      </w:r>
      <w:r w:rsidR="00A3744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– </w:t>
      </w:r>
      <w:r w:rsidR="002518DB"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lipanj</w:t>
      </w:r>
      <w:r w:rsidR="00A3744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C93494" w:rsidRPr="00646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202</w:t>
      </w:r>
      <w:r w:rsidR="004A64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="00C93494" w:rsidRPr="00C934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4840"/>
        <w:gridCol w:w="1540"/>
        <w:gridCol w:w="1600"/>
      </w:tblGrid>
      <w:tr w:rsidR="00254AFE" w:rsidRPr="00254AFE" w14:paraId="4099DE25" w14:textId="77777777" w:rsidTr="00254AFE">
        <w:trPr>
          <w:trHeight w:val="76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BFDBD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20278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Ostvareni rashodi 1.1.-30.6.2025.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58204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% udjela u ostvarenim rashodima</w:t>
            </w:r>
          </w:p>
        </w:tc>
      </w:tr>
      <w:tr w:rsidR="00254AFE" w:rsidRPr="00254AFE" w14:paraId="6E54CAB7" w14:textId="77777777" w:rsidTr="00254AF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13AC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C59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1.700.084,22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E429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92,72%</w:t>
            </w:r>
          </w:p>
        </w:tc>
      </w:tr>
      <w:tr w:rsidR="00254AFE" w:rsidRPr="00254AFE" w14:paraId="52EA6397" w14:textId="77777777" w:rsidTr="00254AF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5CE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C41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131.884,81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372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7,19%</w:t>
            </w:r>
          </w:p>
        </w:tc>
      </w:tr>
      <w:tr w:rsidR="00254AFE" w:rsidRPr="00254AFE" w14:paraId="36CEA072" w14:textId="77777777" w:rsidTr="00254AF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645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373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76F6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254AFE" w:rsidRPr="00254AFE" w14:paraId="1BAEF386" w14:textId="77777777" w:rsidTr="00254AF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09A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FF5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1.612,06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5F1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0,09%</w:t>
            </w:r>
          </w:p>
        </w:tc>
      </w:tr>
      <w:tr w:rsidR="00254AFE" w:rsidRPr="00254AFE" w14:paraId="0FC6A55B" w14:textId="77777777" w:rsidTr="00254AF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10E69" w14:textId="77777777" w:rsidR="00254AFE" w:rsidRPr="00254AFE" w:rsidRDefault="00254AFE" w:rsidP="0025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528480" w14:textId="77777777" w:rsidR="00254AFE" w:rsidRPr="00254AFE" w:rsidRDefault="00254AFE" w:rsidP="0025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1.833.581,81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B1D860" w14:textId="77777777" w:rsidR="00254AFE" w:rsidRPr="00254AFE" w:rsidRDefault="00254AFE" w:rsidP="0025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4A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</w:tbl>
    <w:p w14:paraId="4F09CF0E" w14:textId="77777777" w:rsidR="00FF50FA" w:rsidRDefault="00FF50FA" w:rsidP="006A7BAC">
      <w:pPr>
        <w:spacing w:after="0" w:line="257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CF17F66" w14:textId="617A2DF1" w:rsidR="00F85E16" w:rsidRDefault="00753DFB" w:rsidP="00447131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F780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Rashodi za zaposlene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izvršeni su u iznosu od </w:t>
      </w:r>
      <w:r w:rsidR="00D10EEE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</w:t>
      </w:r>
      <w:r w:rsidR="00EA1AF7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700.084,22</w:t>
      </w:r>
      <w:r w:rsidR="00646A7C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što </w:t>
      </w:r>
      <w:r w:rsid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predstavlja realizaciju od </w:t>
      </w:r>
      <w:r w:rsidR="00646A7C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EA1AF7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D10EEE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EA1AF7"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34</w:t>
      </w:r>
      <w:r w:rsidRP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odnosu na plan, te </w:t>
      </w:r>
      <w:r w:rsid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povećanje od 26,59% odnosno 357.055,78 EUR </w:t>
      </w:r>
      <w:r w:rsidR="001173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odnosu </w:t>
      </w:r>
      <w:r w:rsidR="00646A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isto razdoblje </w:t>
      </w:r>
      <w:r w:rsidR="001173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prošl</w:t>
      </w:r>
      <w:r w:rsidR="00646A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1173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</w:t>
      </w:r>
      <w:r w:rsidR="00646A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1173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2F780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10EEE" w:rsidRP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Do povećanja je došlo iz razloga što </w:t>
      </w:r>
      <w:r w:rsid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su 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01.01.2025. godine </w:t>
      </w:r>
      <w:r w:rsid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povećane plaće </w:t>
      </w:r>
      <w:r w:rsidR="00D10EEE" w:rsidRP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sukladno Kolektivnom ugovoru za radnike JVP Pula </w:t>
      </w:r>
      <w:r w:rsid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</w:t>
      </w:r>
      <w:r w:rsidR="00D10EEE" w:rsidRP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povećana 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 </w:t>
      </w:r>
      <w:r w:rsidR="00D10EEE" w:rsidRP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osnovica za plaće, povećani su koeficijenti složenosti poslova za gotovo sva radna mjesta, a također je</w:t>
      </w:r>
      <w:r w:rsidR="00FF171A" w:rsidRPr="00FF171A">
        <w:t xml:space="preserve"> </w:t>
      </w:r>
      <w:r w:rsidR="00FF171A" w:rsidRP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povećana visina dodat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FF171A" w:rsidRP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ka na osnovni koeficijent za radna mjesta profesionalnih vatrogasaca koja je usklađena s Uredbom o visini dodataka na osnovni koeficijent za radna mjesta profesionalnih vatrogasaca (NN 92/2024)</w:t>
      </w:r>
      <w:r w:rsidR="00A7424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F171A" w:rsidRP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10EEE" w:rsidRPr="00D10E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D6F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</w:t>
      </w:r>
      <w:r w:rsid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ovećani</w:t>
      </w:r>
      <w:r w:rsidR="003D6F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su i</w:t>
      </w:r>
      <w:r w:rsid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ostali rashodi za zaposlene prvenstveno zbog 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povećanja</w:t>
      </w:r>
      <w:r w:rsid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naknade za troškove prehrane</w:t>
      </w:r>
      <w:r w:rsidR="00FF17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01.01.2025. g., </w:t>
      </w:r>
      <w:r w:rsidR="00F85E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zbog većih rashoda za otpremnine. Naime, u razdoblju od 01.01. do 30.06.2025. godine isplaćene su dvije otpremnine sukladno Zakonu o vatrogastvu, dok je u istom razdoblju 2024. godine isplaćena jedna takva otpremnina. Također je isplaćeno više potpora radnicima koje se isplaćuju sukladno Kolektivnom ugovoru po nastanku događaja (više potpora za smrtni slučaj i za neprekidno bolovanje duže od 90 dana). U odnosu na 2024. godinu nije bilo rashoda vezanih uz prekvalifikaciju za zanimanje vatrogasac, te je manje isplaćenih jubilarnih nagrada i manji su rashodi za regres za godišnji odmor. </w:t>
      </w:r>
    </w:p>
    <w:p w14:paraId="64B8B007" w14:textId="0389B5EA" w:rsidR="001A6359" w:rsidRDefault="002F7809" w:rsidP="00447131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985C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Materijalni rashodi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ostvareni su u iznosu </w:t>
      </w:r>
      <w:r w:rsidR="00975DB0" w:rsidRP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="007B4129" w:rsidRP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BC33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="00975DB0" w:rsidRP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BC33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884</w:t>
      </w:r>
      <w:r w:rsidR="007B4129" w:rsidRP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BC33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81</w:t>
      </w:r>
      <w:r w:rsidR="00975DB0" w:rsidRPr="007B41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</w:t>
      </w:r>
      <w:r w:rsidR="00BC33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27,82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u odnosu na plan, i </w:t>
      </w:r>
      <w:r w:rsidR="00BC33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99,63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u odnosu na </w:t>
      </w:r>
      <w:r w:rsidR="00975D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isto razdoblje 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protekl</w:t>
      </w:r>
      <w:r w:rsidR="00975D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</w:t>
      </w:r>
      <w:r w:rsidR="00975D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985C9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7521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Odnose se </w:t>
      </w:r>
      <w:r w:rsidR="009B45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najvećim dijelom na </w:t>
      </w:r>
      <w:r w:rsidR="007521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rashode za naknade za prijevoz</w:t>
      </w:r>
      <w:r w:rsidR="009B45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vlastite radnike</w:t>
      </w:r>
      <w:r w:rsidR="007521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9B45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 </w:t>
      </w:r>
      <w:r w:rsidR="007521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energiju,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službenu, radnu i zaštitnu odjeću i obuću, premije osiguranja, usluge tekućeg i investicijskog održavanja, računalne usluge, </w:t>
      </w:r>
      <w:r w:rsidR="009B45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 drugo. </w:t>
      </w:r>
      <w:r w:rsidR="001A63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Uobičajeno su materijalni rashodi veći u drugoj polovici godine tj. tijekom i nakon zav</w:t>
      </w:r>
      <w:r w:rsidR="00622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</w:t>
      </w:r>
      <w:r w:rsidR="001A63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šetka ljetne požarne sezone. </w:t>
      </w:r>
    </w:p>
    <w:p w14:paraId="7EAD0E50" w14:textId="7B26AACE" w:rsidR="00242201" w:rsidRDefault="00242201" w:rsidP="00447131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lastRenderedPageBreak/>
        <w:t>Financijski</w:t>
      </w:r>
      <w:r w:rsidRPr="00985C9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 rashodi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planirani su u iznosu od 100,00 EUR a ostvareni su u iznosu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0,72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 što je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0,72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 odnosu na plan,</w:t>
      </w:r>
      <w:r w:rsidR="000820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a odnose se u cijelosti na zatezne kamate po račun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ima</w:t>
      </w:r>
      <w:r w:rsidR="000820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dobavljača. </w:t>
      </w:r>
    </w:p>
    <w:p w14:paraId="61617AAA" w14:textId="4A5BB948" w:rsidR="00D965DD" w:rsidRDefault="00F65E05" w:rsidP="00605C5F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Pr="00CF0EAC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Rashodi za nabavu proizvedene dugotrajne imovine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ostvareni su u iznosu od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1.612,06</w:t>
      </w:r>
      <w:r w:rsidR="001A63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0,33</w:t>
      </w:r>
      <w:r w:rsidR="00605C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u odnosu na plan, i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2,68</w:t>
      </w:r>
      <w:r w:rsidR="00605C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u odnosu na proteklu godinu.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prvom polugodištu 2024. godine nabavljeno je više opreme 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protupožarnu zaštitu (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razni 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baterijsk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alat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tehničke intervencije, 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boce komprimiranog zraka, </w:t>
      </w:r>
      <w:r w:rsidR="001351D7" w:rsidRP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uređaj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1351D7" w:rsidRP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oprem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1351D7" w:rsidRP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spašavanje iz dubina i visina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mlaznice, i sl.)</w:t>
      </w:r>
      <w:r w:rsidR="00B90D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dok je u prvom polugodištu 2025. godine nabavljeno manje takve opreme</w:t>
      </w:r>
      <w:r w:rsidR="001351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96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Oprema se nabavlja</w:t>
      </w:r>
      <w:r w:rsidR="001A63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prema potreb</w:t>
      </w:r>
      <w:r w:rsidR="00D96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i. </w:t>
      </w:r>
    </w:p>
    <w:p w14:paraId="74E2E01D" w14:textId="75D1C38C" w:rsidR="0009186B" w:rsidRPr="00CF0415" w:rsidRDefault="0009186B" w:rsidP="0009186B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Rashodi </w:t>
      </w:r>
      <w:r w:rsidR="00366A33"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financirani iz decentraliziranih sredstava i sredstava osnivača</w:t>
      </w:r>
    </w:p>
    <w:p w14:paraId="6C6F2484" w14:textId="4FF9D739" w:rsidR="00660FDA" w:rsidRPr="00CF0415" w:rsidRDefault="00660FDA" w:rsidP="00660FDA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Rashodi J</w:t>
      </w:r>
      <w:r w:rsidR="000753C7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koji su finacirani iz </w:t>
      </w: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decentraliziranih sredstava 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ostvarenih temeljem Odluke o minimalnim financijskim standardima, kriterijima i mjerilima za financiranje rashoda javnih vatrogasnih postrojbi u 202</w:t>
      </w:r>
      <w:r w:rsidR="009B10B3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godini </w:t>
      </w:r>
      <w:r w:rsidR="00B867E1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iskazani su slijedećom tablicom</w:t>
      </w:r>
      <w:r w:rsidR="00554A11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</w:t>
      </w:r>
    </w:p>
    <w:p w14:paraId="0948EB75" w14:textId="473968CE" w:rsidR="00D23277" w:rsidRPr="00CF0415" w:rsidRDefault="00B867E1" w:rsidP="009C0B4C">
      <w:pPr>
        <w:spacing w:after="0" w:line="257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Tabela br. 4. Rashodi financirani iz decentraliziranih sredstava u razdoblju siječanj – lipanj 202</w:t>
      </w:r>
      <w:r w:rsidR="009B10B3"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 godine</w:t>
      </w:r>
    </w:p>
    <w:tbl>
      <w:tblPr>
        <w:tblW w:w="6511" w:type="dxa"/>
        <w:tblLook w:val="04A0" w:firstRow="1" w:lastRow="0" w:firstColumn="1" w:lastColumn="0" w:noHBand="0" w:noVBand="1"/>
      </w:tblPr>
      <w:tblGrid>
        <w:gridCol w:w="3920"/>
        <w:gridCol w:w="1173"/>
        <w:gridCol w:w="1418"/>
      </w:tblGrid>
      <w:tr w:rsidR="002448D1" w:rsidRPr="00CF0415" w14:paraId="5AC0D939" w14:textId="77777777" w:rsidTr="005F00C1">
        <w:trPr>
          <w:trHeight w:val="42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76CFF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47FB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Račun iz </w:t>
            </w:r>
            <w:proofErr w:type="spellStart"/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rač</w:t>
            </w:r>
            <w:proofErr w:type="spellEnd"/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 plana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3DC0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Iznos u EUR</w:t>
            </w:r>
          </w:p>
        </w:tc>
      </w:tr>
      <w:tr w:rsidR="002448D1" w:rsidRPr="00CF0415" w14:paraId="0E4796E5" w14:textId="77777777" w:rsidTr="00457B96">
        <w:trPr>
          <w:trHeight w:val="254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3DD1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5A29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AB8F" w14:textId="02CA414C" w:rsidR="002448D1" w:rsidRPr="00CF0415" w:rsidRDefault="009B10B3" w:rsidP="002448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617.243,41</w:t>
            </w:r>
          </w:p>
        </w:tc>
      </w:tr>
      <w:tr w:rsidR="002448D1" w:rsidRPr="00CF0415" w14:paraId="53E2EAC9" w14:textId="77777777" w:rsidTr="00457B96">
        <w:trPr>
          <w:trHeight w:val="123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921A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Naknade za prijevoz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5D126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999D" w14:textId="1BC209FF" w:rsidR="002448D1" w:rsidRPr="00CF0415" w:rsidRDefault="009B10B3" w:rsidP="002448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21.612,76</w:t>
            </w:r>
          </w:p>
        </w:tc>
      </w:tr>
      <w:tr w:rsidR="002448D1" w:rsidRPr="00CF0415" w14:paraId="7A095E81" w14:textId="77777777" w:rsidTr="00457B96">
        <w:trPr>
          <w:trHeight w:val="269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9C0C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4F0D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85A2" w14:textId="0EFBB97E" w:rsidR="002448D1" w:rsidRPr="00CF0415" w:rsidRDefault="009B10B3" w:rsidP="002448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5.403,61</w:t>
            </w:r>
          </w:p>
        </w:tc>
      </w:tr>
      <w:tr w:rsidR="002448D1" w:rsidRPr="00CF0415" w14:paraId="34B550CE" w14:textId="77777777" w:rsidTr="00457B96">
        <w:trPr>
          <w:trHeight w:val="263"/>
        </w:trPr>
        <w:tc>
          <w:tcPr>
            <w:tcW w:w="3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EA3A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79BA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B96C" w14:textId="6298B3BE" w:rsidR="002448D1" w:rsidRPr="00CF0415" w:rsidRDefault="009B10B3" w:rsidP="002448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11.269,81</w:t>
            </w:r>
          </w:p>
        </w:tc>
      </w:tr>
      <w:tr w:rsidR="002448D1" w:rsidRPr="00CF0415" w14:paraId="248443AA" w14:textId="77777777" w:rsidTr="00457B96">
        <w:trPr>
          <w:trHeight w:val="246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D052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9954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068E" w14:textId="592C9D5E" w:rsidR="002448D1" w:rsidRPr="00CF0415" w:rsidRDefault="002448D1" w:rsidP="002448D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655.</w:t>
            </w:r>
            <w:r w:rsidR="009B10B3"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529,59</w:t>
            </w:r>
          </w:p>
        </w:tc>
      </w:tr>
      <w:tr w:rsidR="002448D1" w:rsidRPr="00CF0415" w14:paraId="77C9F85D" w14:textId="77777777" w:rsidTr="00457B96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8E94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719E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C0E5" w14:textId="18CEA4C9" w:rsidR="002448D1" w:rsidRPr="00CF0415" w:rsidRDefault="002448D1" w:rsidP="002448D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655.</w:t>
            </w:r>
            <w:r w:rsidR="009B10B3"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529,00</w:t>
            </w:r>
          </w:p>
        </w:tc>
      </w:tr>
      <w:tr w:rsidR="002448D1" w:rsidRPr="00CF0415" w14:paraId="5C25E201" w14:textId="77777777" w:rsidTr="00457B96">
        <w:trPr>
          <w:trHeight w:val="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0CA3" w14:textId="77777777" w:rsidR="002448D1" w:rsidRPr="00CF0415" w:rsidRDefault="002448D1" w:rsidP="002448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VIŠAK / MANJAK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37EA4" w14:textId="77777777" w:rsidR="002448D1" w:rsidRPr="00CF0415" w:rsidRDefault="002448D1" w:rsidP="00244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E209C" w14:textId="77777777" w:rsidR="002448D1" w:rsidRPr="00CF0415" w:rsidRDefault="002448D1" w:rsidP="002448D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04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7AA2F75E" w14:textId="77777777" w:rsidR="00E21894" w:rsidRDefault="00E21894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4" w:name="_Hlk126831236"/>
    </w:p>
    <w:p w14:paraId="1F6059A3" w14:textId="30DBC861" w:rsidR="00660FDA" w:rsidRDefault="00E35AD1" w:rsidP="00E7601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Rashodi J</w:t>
      </w:r>
      <w:r w:rsidR="000753C7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VP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Pula za razdoblje siječanj – </w:t>
      </w:r>
      <w:r w:rsidR="00242201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lipanj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9B10B3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godine </w:t>
      </w:r>
      <w:r w:rsidR="00F567E7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iznad decentraliziranih sredstava 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koji su financirani iz </w:t>
      </w: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proračuna </w:t>
      </w:r>
      <w:r w:rsidR="008C5C31"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</w:t>
      </w:r>
      <w:r w:rsidRPr="00CF04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snivača</w:t>
      </w:r>
      <w:r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867E1" w:rsidRPr="00CF04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iskazani su tablicom u nastavku.</w:t>
      </w:r>
    </w:p>
    <w:p w14:paraId="6015286F" w14:textId="659DB3AE" w:rsidR="00B867E1" w:rsidRDefault="00B867E1" w:rsidP="009C0B4C">
      <w:pPr>
        <w:spacing w:after="0" w:line="257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B867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Tabela br. 5. Rashodi financirani iz proračuna osnivača 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917"/>
        <w:gridCol w:w="3580"/>
        <w:gridCol w:w="1468"/>
        <w:gridCol w:w="1373"/>
        <w:gridCol w:w="1233"/>
        <w:gridCol w:w="955"/>
      </w:tblGrid>
      <w:tr w:rsidR="00486B7D" w:rsidRPr="00486B7D" w14:paraId="2AF37405" w14:textId="77777777" w:rsidTr="00486B7D">
        <w:trPr>
          <w:trHeight w:val="51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8E10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35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BD4D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35F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1.1.-30.6.2024.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988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1.1.-30.6.2025.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DF6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Razlika 2 - 1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821C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</w:tr>
      <w:tr w:rsidR="00486B7D" w:rsidRPr="00486B7D" w14:paraId="634011AF" w14:textId="77777777" w:rsidTr="00486B7D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6A36E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94F7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80C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8FE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9A7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BA0B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6B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86B7D" w:rsidRPr="00486B7D" w14:paraId="5E93541D" w14:textId="77777777" w:rsidTr="00486B7D">
        <w:trPr>
          <w:trHeight w:val="21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350AD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B81E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2461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730.972,86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49AC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1.082.840,81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1A4F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351.867,95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725D6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148,14%</w:t>
            </w:r>
          </w:p>
        </w:tc>
      </w:tr>
      <w:tr w:rsidR="00486B7D" w:rsidRPr="00486B7D" w14:paraId="1B2D6C52" w14:textId="77777777" w:rsidTr="00486B7D">
        <w:trPr>
          <w:trHeight w:val="2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C06A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138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0B9A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74.687,69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6A6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76.876,44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8E84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2.188,75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05158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102,93%</w:t>
            </w:r>
          </w:p>
        </w:tc>
      </w:tr>
      <w:tr w:rsidR="00486B7D" w:rsidRPr="00486B7D" w14:paraId="1E423C27" w14:textId="77777777" w:rsidTr="00486B7D">
        <w:trPr>
          <w:trHeight w:val="28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46FA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BFB6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6942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CF09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FBE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-0,52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DBCD7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58,06%</w:t>
            </w:r>
          </w:p>
        </w:tc>
      </w:tr>
      <w:tr w:rsidR="00486B7D" w:rsidRPr="00486B7D" w14:paraId="5C039AAD" w14:textId="77777777" w:rsidTr="00486B7D">
        <w:trPr>
          <w:trHeight w:val="271"/>
        </w:trPr>
        <w:tc>
          <w:tcPr>
            <w:tcW w:w="9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78E9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D32" w14:textId="0D896E5E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proiz</w:t>
            </w:r>
            <w:proofErr w:type="spellEnd"/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dugot</w:t>
            </w:r>
            <w:proofErr w:type="spellEnd"/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imovine</w:t>
            </w:r>
          </w:p>
        </w:tc>
        <w:tc>
          <w:tcPr>
            <w:tcW w:w="14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D608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926,71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B398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1.612,06</w:t>
            </w:r>
          </w:p>
        </w:tc>
        <w:tc>
          <w:tcPr>
            <w:tcW w:w="12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9B05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685,35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6EF9F" w14:textId="77777777" w:rsidR="00486B7D" w:rsidRPr="00486B7D" w:rsidRDefault="00486B7D" w:rsidP="00486B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173,96%</w:t>
            </w:r>
          </w:p>
        </w:tc>
      </w:tr>
      <w:tr w:rsidR="00486B7D" w:rsidRPr="00486B7D" w14:paraId="7B3E1104" w14:textId="77777777" w:rsidTr="00486B7D">
        <w:trPr>
          <w:trHeight w:val="172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B89D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29BE" w14:textId="77777777" w:rsidR="00486B7D" w:rsidRPr="00486B7D" w:rsidRDefault="00486B7D" w:rsidP="00486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52D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806.588,50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06D5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1.161.330,03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0F05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354.741,53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EED2F" w14:textId="77777777" w:rsidR="00486B7D" w:rsidRPr="00486B7D" w:rsidRDefault="00486B7D" w:rsidP="00486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143,98%</w:t>
            </w:r>
          </w:p>
        </w:tc>
      </w:tr>
    </w:tbl>
    <w:p w14:paraId="2E44E7AD" w14:textId="77777777" w:rsidR="00486B7D" w:rsidRDefault="00486B7D" w:rsidP="0009186B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319F376" w14:textId="77777777" w:rsidR="002B1871" w:rsidRDefault="002B1871" w:rsidP="0061688B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3C1DD442" w14:textId="5EFC60C9" w:rsidR="0061688B" w:rsidRPr="00486B7D" w:rsidRDefault="0061688B" w:rsidP="0061688B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86B7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PRIMICI I IZDACI </w:t>
      </w:r>
    </w:p>
    <w:p w14:paraId="63963555" w14:textId="05D4F8AA" w:rsidR="0061688B" w:rsidRPr="00486B7D" w:rsidRDefault="0061688B" w:rsidP="0009186B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izvještajnom razdoblu 01.01. – 30.06.2025. godine JVP Pula nije imala ostvarenih primitaka i izdataka.</w:t>
      </w:r>
    </w:p>
    <w:p w14:paraId="19CCCBCB" w14:textId="6C0A0D61" w:rsidR="0007390D" w:rsidRPr="00486B7D" w:rsidRDefault="004E3E43" w:rsidP="0009186B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86B7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t xml:space="preserve">OBRAZLOŽENJE PRENESENOG </w:t>
      </w:r>
      <w:r w:rsidR="0061688B" w:rsidRPr="00486B7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MANJKA ODNOSNO VIŠKA IZ PRETHODNE GODINE I VIŠKA ODNOSNO MANJKA ZA PRIJENOS U SLIJEDEĆ</w:t>
      </w:r>
      <w:r w:rsidR="006A4B5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E RAZDOBLJE 2025.</w:t>
      </w:r>
      <w:r w:rsidR="0061688B" w:rsidRPr="00486B7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GODIN</w:t>
      </w:r>
      <w:r w:rsidR="006A4B5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E</w:t>
      </w:r>
    </w:p>
    <w:p w14:paraId="648E1BB8" w14:textId="603D2C0F" w:rsidR="0061688B" w:rsidRDefault="0061688B" w:rsidP="00F641D2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Rezultat poslovanja JVP Pula za 2024. godinu iznosi</w:t>
      </w:r>
      <w:r w:rsid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je 0,00 EUR, što znači da </w:t>
      </w:r>
      <w:r w:rsid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nije bilo </w:t>
      </w: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viška odnosno manjka prenesenog iz prethodne godne</w:t>
      </w:r>
      <w:r w:rsid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3665D17" w14:textId="68824CD9" w:rsidR="00E21894" w:rsidRDefault="00E21894" w:rsidP="00F641D2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 izvještajno razdoblje </w:t>
      </w:r>
      <w:r w:rsidRPr="00486B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01.01. – 30.06.2025. godine JVP Pula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ostavarila je manjak od 85.201,87 EUR. </w:t>
      </w:r>
      <w:r w:rsidR="00A406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</w:t>
      </w:r>
      <w:r w:rsidR="002B18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adi se 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metodološk</w:t>
      </w:r>
      <w:r w:rsidR="002B18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manj</w:t>
      </w:r>
      <w:r w:rsidR="002B18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ku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B0474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koji 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B18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najvećim djelom vezan uz rashode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plaće za lipanj 2025. godine</w:t>
      </w:r>
      <w:r w:rsidR="00B0474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Manjak 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0474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pokriven u srpnju 2025. godine prilikom isplate plaće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3E092B4C" w14:textId="77777777" w:rsidR="009079C3" w:rsidRDefault="009079C3" w:rsidP="000E4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73C409CA" w14:textId="77777777" w:rsidR="006A7BAC" w:rsidRDefault="006A7BAC" w:rsidP="000E4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65ED3ABC" w14:textId="58CDE5DD" w:rsidR="000E4412" w:rsidRPr="006A4B59" w:rsidRDefault="000E4412" w:rsidP="000E4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6A4B59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IV  POSEBNI IZVJEŠTAJI </w:t>
      </w:r>
    </w:p>
    <w:p w14:paraId="02A9949B" w14:textId="5C810B13" w:rsidR="004E1562" w:rsidRDefault="000E4412" w:rsidP="004E1562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izvještajnom razdobl</w:t>
      </w:r>
      <w:r w:rsidR="004E1562"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</w:t>
      </w:r>
      <w:r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01.01. – 30.06.202</w:t>
      </w:r>
      <w:r w:rsidR="0061688B"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godini JVP Pula nije bila zadužena na domaćem i stranom tržištu </w:t>
      </w:r>
      <w:r w:rsidR="004E1562"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novca i </w:t>
      </w:r>
      <w:r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kapitala</w:t>
      </w:r>
      <w:r w:rsidR="004E1562" w:rsidRPr="006A4B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6D281544" w14:textId="77777777" w:rsidR="00B90E20" w:rsidRDefault="00B90E20" w:rsidP="000E4412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7ECA31A" w14:textId="77777777" w:rsidR="00B90E20" w:rsidRDefault="00B90E20" w:rsidP="000E4412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02FB049" w14:textId="35C4BF53" w:rsidR="000E4412" w:rsidRDefault="000E4412" w:rsidP="000E4412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</w:t>
      </w:r>
      <w:r w:rsidRPr="00D253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odneseni izvještaj sukladan je odobrenim planskim sredstvima u okviru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Financijskog plana </w:t>
      </w:r>
      <w:r w:rsidRPr="00D253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kojeg je usvojilo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Vatrogasno vijeće</w:t>
      </w:r>
      <w:r w:rsidRPr="00AE787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JVP Pula. </w:t>
      </w:r>
    </w:p>
    <w:bookmarkEnd w:id="4"/>
    <w:p w14:paraId="165C27EB" w14:textId="6A56B61A" w:rsidR="000A5AD4" w:rsidRDefault="00447131" w:rsidP="00780B1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</w:t>
      </w:r>
    </w:p>
    <w:p w14:paraId="45537717" w14:textId="5C8E2EDF" w:rsidR="00032977" w:rsidRPr="005A7E12" w:rsidRDefault="00032977" w:rsidP="000329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</w:pPr>
      <w:r w:rsidRPr="005A7E1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 xml:space="preserve">KLASA: </w:t>
      </w:r>
      <w:r w:rsidR="006804A9" w:rsidRPr="005A7E1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400-02</w:t>
      </w:r>
      <w:r w:rsidRPr="005A7E1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/2</w:t>
      </w:r>
      <w:r w:rsidR="004E156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5</w:t>
      </w:r>
      <w:r w:rsidRPr="005A7E1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-01/0</w:t>
      </w:r>
      <w:r w:rsidR="005A7E12" w:rsidRPr="005A7E12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2</w:t>
      </w:r>
    </w:p>
    <w:p w14:paraId="2E0C882C" w14:textId="341BFFD7" w:rsidR="00032977" w:rsidRPr="00A77CBC" w:rsidRDefault="00032977" w:rsidP="000329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</w:pPr>
      <w:r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URBROJ: 2163-7-4-</w:t>
      </w:r>
      <w:r w:rsidR="006804A9"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1</w:t>
      </w:r>
    </w:p>
    <w:p w14:paraId="73046A64" w14:textId="59F05231" w:rsidR="00B22BDE" w:rsidRDefault="00032977" w:rsidP="0003297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Pula,</w:t>
      </w:r>
      <w:r w:rsidR="00F61A2E"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 xml:space="preserve"> </w:t>
      </w:r>
      <w:r w:rsidR="00A77CBC"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25</w:t>
      </w:r>
      <w:r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.07.202</w:t>
      </w:r>
      <w:r w:rsidR="00F61A2E"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5</w:t>
      </w:r>
      <w:r w:rsidRPr="00A77CBC">
        <w:rPr>
          <w:rFonts w:ascii="Times New Roman" w:eastAsia="Times New Roman" w:hAnsi="Times New Roman" w:cs="Times New Roman"/>
          <w:bCs/>
          <w:noProof/>
          <w:sz w:val="24"/>
          <w:szCs w:val="20"/>
          <w:lang w:eastAsia="hr-HR"/>
        </w:rPr>
        <w:t>.</w:t>
      </w:r>
      <w:r w:rsidR="004471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</w:p>
    <w:p w14:paraId="1B94E621" w14:textId="77777777" w:rsidR="00B22BDE" w:rsidRPr="00F84280" w:rsidRDefault="00447131" w:rsidP="00B22BDE">
      <w:pPr>
        <w:ind w:firstLine="708"/>
        <w:rPr>
          <w:rFonts w:ascii="Times New Roman" w:eastAsia="Times New Roman" w:hAnsi="Times New Roman" w:cs="Times New Roman"/>
          <w:noProof/>
          <w:sz w:val="10"/>
          <w:szCs w:val="1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</w:t>
      </w:r>
    </w:p>
    <w:p w14:paraId="3A4D3BEE" w14:textId="77777777" w:rsidR="00B22BDE" w:rsidRPr="00780B1D" w:rsidRDefault="00B22BDE" w:rsidP="00B22BD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Predsjednik Vatrogasnog vijeća</w:t>
      </w:r>
    </w:p>
    <w:p w14:paraId="0FAAF7B9" w14:textId="4000FF4A" w:rsidR="00447131" w:rsidRDefault="00B22BDE" w:rsidP="00B22BD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Ardemio Zimolo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sectPr w:rsidR="00447131" w:rsidSect="00014A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A97D" w14:textId="77777777" w:rsidR="003501A1" w:rsidRDefault="003501A1" w:rsidP="00FC639D">
      <w:pPr>
        <w:spacing w:after="0" w:line="240" w:lineRule="auto"/>
      </w:pPr>
      <w:r>
        <w:separator/>
      </w:r>
    </w:p>
  </w:endnote>
  <w:endnote w:type="continuationSeparator" w:id="0">
    <w:p w14:paraId="259D8AE4" w14:textId="77777777" w:rsidR="003501A1" w:rsidRDefault="003501A1" w:rsidP="00FC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116933"/>
      <w:docPartObj>
        <w:docPartGallery w:val="Page Numbers (Bottom of Page)"/>
        <w:docPartUnique/>
      </w:docPartObj>
    </w:sdtPr>
    <w:sdtEndPr/>
    <w:sdtContent>
      <w:p w14:paraId="002EC294" w14:textId="687ACE08" w:rsidR="00FC639D" w:rsidRDefault="00FC639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1ED7C6" w14:textId="77777777" w:rsidR="00FC639D" w:rsidRDefault="00FC63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B772" w14:textId="77777777" w:rsidR="003501A1" w:rsidRDefault="003501A1" w:rsidP="00FC639D">
      <w:pPr>
        <w:spacing w:after="0" w:line="240" w:lineRule="auto"/>
      </w:pPr>
      <w:r>
        <w:separator/>
      </w:r>
    </w:p>
  </w:footnote>
  <w:footnote w:type="continuationSeparator" w:id="0">
    <w:p w14:paraId="429F8150" w14:textId="77777777" w:rsidR="003501A1" w:rsidRDefault="003501A1" w:rsidP="00FC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250"/>
    <w:multiLevelType w:val="hybridMultilevel"/>
    <w:tmpl w:val="927ADEFE"/>
    <w:lvl w:ilvl="0" w:tplc="B74A39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E7176"/>
    <w:multiLevelType w:val="hybridMultilevel"/>
    <w:tmpl w:val="0E6CAF0E"/>
    <w:lvl w:ilvl="0" w:tplc="B74A390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1511C1"/>
    <w:multiLevelType w:val="hybridMultilevel"/>
    <w:tmpl w:val="2F5AD9A6"/>
    <w:lvl w:ilvl="0" w:tplc="98FEB29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B0B"/>
    <w:multiLevelType w:val="hybridMultilevel"/>
    <w:tmpl w:val="58807E3A"/>
    <w:lvl w:ilvl="0" w:tplc="C66A8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310705"/>
    <w:multiLevelType w:val="hybridMultilevel"/>
    <w:tmpl w:val="C4768E72"/>
    <w:lvl w:ilvl="0" w:tplc="80EC5D3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8002871">
    <w:abstractNumId w:val="1"/>
  </w:num>
  <w:num w:numId="2" w16cid:durableId="1045763045">
    <w:abstractNumId w:val="0"/>
  </w:num>
  <w:num w:numId="3" w16cid:durableId="258831066">
    <w:abstractNumId w:val="3"/>
  </w:num>
  <w:num w:numId="4" w16cid:durableId="998463615">
    <w:abstractNumId w:val="4"/>
  </w:num>
  <w:num w:numId="5" w16cid:durableId="2879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C0"/>
    <w:rsid w:val="000048A5"/>
    <w:rsid w:val="00013B1E"/>
    <w:rsid w:val="00014AF2"/>
    <w:rsid w:val="00025BF6"/>
    <w:rsid w:val="000324A8"/>
    <w:rsid w:val="00032977"/>
    <w:rsid w:val="00054E53"/>
    <w:rsid w:val="000577B5"/>
    <w:rsid w:val="0007390D"/>
    <w:rsid w:val="000753C7"/>
    <w:rsid w:val="000820C0"/>
    <w:rsid w:val="0009186B"/>
    <w:rsid w:val="00093387"/>
    <w:rsid w:val="00096976"/>
    <w:rsid w:val="00097059"/>
    <w:rsid w:val="00097A4B"/>
    <w:rsid w:val="000A063A"/>
    <w:rsid w:val="000A12EB"/>
    <w:rsid w:val="000A5AD4"/>
    <w:rsid w:val="000A65C6"/>
    <w:rsid w:val="000B14BD"/>
    <w:rsid w:val="000B208D"/>
    <w:rsid w:val="000C1A58"/>
    <w:rsid w:val="000C4DE7"/>
    <w:rsid w:val="000C7B91"/>
    <w:rsid w:val="000D21BE"/>
    <w:rsid w:val="000D6983"/>
    <w:rsid w:val="000D7F35"/>
    <w:rsid w:val="000E4412"/>
    <w:rsid w:val="000F1898"/>
    <w:rsid w:val="000F6CFB"/>
    <w:rsid w:val="000F6FE8"/>
    <w:rsid w:val="00114EBE"/>
    <w:rsid w:val="001173A3"/>
    <w:rsid w:val="00132E79"/>
    <w:rsid w:val="001351D7"/>
    <w:rsid w:val="0014776A"/>
    <w:rsid w:val="00153BCC"/>
    <w:rsid w:val="0015576D"/>
    <w:rsid w:val="00156E1C"/>
    <w:rsid w:val="001626B1"/>
    <w:rsid w:val="001654A6"/>
    <w:rsid w:val="0017287D"/>
    <w:rsid w:val="00183DC6"/>
    <w:rsid w:val="00186CA3"/>
    <w:rsid w:val="00190308"/>
    <w:rsid w:val="0019686C"/>
    <w:rsid w:val="001A6359"/>
    <w:rsid w:val="001B3DF0"/>
    <w:rsid w:val="001B679E"/>
    <w:rsid w:val="001D1DFD"/>
    <w:rsid w:val="001E65AE"/>
    <w:rsid w:val="001F0F1C"/>
    <w:rsid w:val="001F38D8"/>
    <w:rsid w:val="00201929"/>
    <w:rsid w:val="00202ED9"/>
    <w:rsid w:val="002047A0"/>
    <w:rsid w:val="002077D1"/>
    <w:rsid w:val="00207C36"/>
    <w:rsid w:val="00242201"/>
    <w:rsid w:val="002448D1"/>
    <w:rsid w:val="00246758"/>
    <w:rsid w:val="00247584"/>
    <w:rsid w:val="002518DB"/>
    <w:rsid w:val="00254AFE"/>
    <w:rsid w:val="0026670A"/>
    <w:rsid w:val="00290860"/>
    <w:rsid w:val="00293983"/>
    <w:rsid w:val="002943AB"/>
    <w:rsid w:val="002945DD"/>
    <w:rsid w:val="002A18A0"/>
    <w:rsid w:val="002B1871"/>
    <w:rsid w:val="002C39D7"/>
    <w:rsid w:val="002C6F7F"/>
    <w:rsid w:val="002F03D1"/>
    <w:rsid w:val="002F4268"/>
    <w:rsid w:val="002F7809"/>
    <w:rsid w:val="003028D0"/>
    <w:rsid w:val="00303523"/>
    <w:rsid w:val="00323FCB"/>
    <w:rsid w:val="00333795"/>
    <w:rsid w:val="00340C0A"/>
    <w:rsid w:val="003468B3"/>
    <w:rsid w:val="003470E4"/>
    <w:rsid w:val="003501A1"/>
    <w:rsid w:val="00356384"/>
    <w:rsid w:val="00366A33"/>
    <w:rsid w:val="00371C30"/>
    <w:rsid w:val="0038307B"/>
    <w:rsid w:val="003A60E1"/>
    <w:rsid w:val="003C370B"/>
    <w:rsid w:val="003C7E49"/>
    <w:rsid w:val="003D6F05"/>
    <w:rsid w:val="003E0C49"/>
    <w:rsid w:val="003E2BDC"/>
    <w:rsid w:val="003F739F"/>
    <w:rsid w:val="004108CE"/>
    <w:rsid w:val="00426877"/>
    <w:rsid w:val="004278AD"/>
    <w:rsid w:val="00435891"/>
    <w:rsid w:val="00447131"/>
    <w:rsid w:val="00450C01"/>
    <w:rsid w:val="00456C7E"/>
    <w:rsid w:val="00457B96"/>
    <w:rsid w:val="00464AC7"/>
    <w:rsid w:val="00472762"/>
    <w:rsid w:val="00476118"/>
    <w:rsid w:val="00486B7D"/>
    <w:rsid w:val="0049012D"/>
    <w:rsid w:val="004A457D"/>
    <w:rsid w:val="004A4C7A"/>
    <w:rsid w:val="004A64C2"/>
    <w:rsid w:val="004B089F"/>
    <w:rsid w:val="004B0EF5"/>
    <w:rsid w:val="004B59F0"/>
    <w:rsid w:val="004D22F8"/>
    <w:rsid w:val="004E1562"/>
    <w:rsid w:val="004E3E43"/>
    <w:rsid w:val="004E7016"/>
    <w:rsid w:val="004E795C"/>
    <w:rsid w:val="004F0017"/>
    <w:rsid w:val="0050142B"/>
    <w:rsid w:val="00507466"/>
    <w:rsid w:val="0052043C"/>
    <w:rsid w:val="00521A83"/>
    <w:rsid w:val="0052320F"/>
    <w:rsid w:val="005272E8"/>
    <w:rsid w:val="00554A11"/>
    <w:rsid w:val="00584971"/>
    <w:rsid w:val="005A2471"/>
    <w:rsid w:val="005A27F2"/>
    <w:rsid w:val="005A7E12"/>
    <w:rsid w:val="005B76C3"/>
    <w:rsid w:val="005D233C"/>
    <w:rsid w:val="005D24FD"/>
    <w:rsid w:val="005E03E6"/>
    <w:rsid w:val="005F00C1"/>
    <w:rsid w:val="005F3964"/>
    <w:rsid w:val="005F6541"/>
    <w:rsid w:val="00605C5F"/>
    <w:rsid w:val="006120DB"/>
    <w:rsid w:val="0061688B"/>
    <w:rsid w:val="0062263B"/>
    <w:rsid w:val="00625481"/>
    <w:rsid w:val="006412C3"/>
    <w:rsid w:val="00646A7C"/>
    <w:rsid w:val="00650A1B"/>
    <w:rsid w:val="00657DEC"/>
    <w:rsid w:val="00660FDA"/>
    <w:rsid w:val="00661904"/>
    <w:rsid w:val="0066227D"/>
    <w:rsid w:val="0066533B"/>
    <w:rsid w:val="0067328F"/>
    <w:rsid w:val="0067430F"/>
    <w:rsid w:val="006804A9"/>
    <w:rsid w:val="006875F7"/>
    <w:rsid w:val="00691CD1"/>
    <w:rsid w:val="00693350"/>
    <w:rsid w:val="0069335D"/>
    <w:rsid w:val="006A03FD"/>
    <w:rsid w:val="006A19DD"/>
    <w:rsid w:val="006A4B59"/>
    <w:rsid w:val="006A5E32"/>
    <w:rsid w:val="006A7BAC"/>
    <w:rsid w:val="006B0BCC"/>
    <w:rsid w:val="006B14CE"/>
    <w:rsid w:val="006B446D"/>
    <w:rsid w:val="006B7DE8"/>
    <w:rsid w:val="006C5E9D"/>
    <w:rsid w:val="006D0170"/>
    <w:rsid w:val="006D481D"/>
    <w:rsid w:val="006D76ED"/>
    <w:rsid w:val="006E25EB"/>
    <w:rsid w:val="006E4B12"/>
    <w:rsid w:val="006F57F0"/>
    <w:rsid w:val="00705856"/>
    <w:rsid w:val="00712802"/>
    <w:rsid w:val="00713D9C"/>
    <w:rsid w:val="00715EF6"/>
    <w:rsid w:val="00715FD2"/>
    <w:rsid w:val="0073003F"/>
    <w:rsid w:val="0073262E"/>
    <w:rsid w:val="00733621"/>
    <w:rsid w:val="00750DC0"/>
    <w:rsid w:val="00752135"/>
    <w:rsid w:val="00753DFB"/>
    <w:rsid w:val="007540CE"/>
    <w:rsid w:val="007631CF"/>
    <w:rsid w:val="00766F7B"/>
    <w:rsid w:val="0077733B"/>
    <w:rsid w:val="00780B1D"/>
    <w:rsid w:val="00786584"/>
    <w:rsid w:val="007970B6"/>
    <w:rsid w:val="007A564A"/>
    <w:rsid w:val="007A79A8"/>
    <w:rsid w:val="007A7E7F"/>
    <w:rsid w:val="007B22F6"/>
    <w:rsid w:val="007B2E2A"/>
    <w:rsid w:val="007B4129"/>
    <w:rsid w:val="007B7D26"/>
    <w:rsid w:val="007C2FA1"/>
    <w:rsid w:val="007F08F8"/>
    <w:rsid w:val="00802C02"/>
    <w:rsid w:val="00804B20"/>
    <w:rsid w:val="00812670"/>
    <w:rsid w:val="0081274D"/>
    <w:rsid w:val="00820DE7"/>
    <w:rsid w:val="008366D4"/>
    <w:rsid w:val="00837F83"/>
    <w:rsid w:val="00840A78"/>
    <w:rsid w:val="00841331"/>
    <w:rsid w:val="00844FCF"/>
    <w:rsid w:val="0085358B"/>
    <w:rsid w:val="00860FFD"/>
    <w:rsid w:val="00864176"/>
    <w:rsid w:val="00895725"/>
    <w:rsid w:val="00897968"/>
    <w:rsid w:val="008A1525"/>
    <w:rsid w:val="008B77D2"/>
    <w:rsid w:val="008C5C31"/>
    <w:rsid w:val="008D4B73"/>
    <w:rsid w:val="008D5D45"/>
    <w:rsid w:val="008E1198"/>
    <w:rsid w:val="008E380E"/>
    <w:rsid w:val="008F2A12"/>
    <w:rsid w:val="0090208F"/>
    <w:rsid w:val="009025DB"/>
    <w:rsid w:val="00907866"/>
    <w:rsid w:val="009079C3"/>
    <w:rsid w:val="009137C9"/>
    <w:rsid w:val="0091455A"/>
    <w:rsid w:val="00916E5D"/>
    <w:rsid w:val="00974FFC"/>
    <w:rsid w:val="00975DB0"/>
    <w:rsid w:val="00985C99"/>
    <w:rsid w:val="00995EFE"/>
    <w:rsid w:val="009A4680"/>
    <w:rsid w:val="009B10B3"/>
    <w:rsid w:val="009B29D4"/>
    <w:rsid w:val="009B4515"/>
    <w:rsid w:val="009B691F"/>
    <w:rsid w:val="009C0B4C"/>
    <w:rsid w:val="009C1B22"/>
    <w:rsid w:val="009C2D50"/>
    <w:rsid w:val="009C393C"/>
    <w:rsid w:val="009D024A"/>
    <w:rsid w:val="009D3ABD"/>
    <w:rsid w:val="009E2253"/>
    <w:rsid w:val="009E5E70"/>
    <w:rsid w:val="009F5F9B"/>
    <w:rsid w:val="00A142AD"/>
    <w:rsid w:val="00A27D0A"/>
    <w:rsid w:val="00A30F11"/>
    <w:rsid w:val="00A3540B"/>
    <w:rsid w:val="00A37445"/>
    <w:rsid w:val="00A406FA"/>
    <w:rsid w:val="00A43D9E"/>
    <w:rsid w:val="00A74240"/>
    <w:rsid w:val="00A7572B"/>
    <w:rsid w:val="00A77CBC"/>
    <w:rsid w:val="00A84B3C"/>
    <w:rsid w:val="00A87DB5"/>
    <w:rsid w:val="00A96541"/>
    <w:rsid w:val="00AA5E5F"/>
    <w:rsid w:val="00AA6516"/>
    <w:rsid w:val="00AB1F06"/>
    <w:rsid w:val="00AC6117"/>
    <w:rsid w:val="00AD0B69"/>
    <w:rsid w:val="00AD7EF9"/>
    <w:rsid w:val="00AE69AE"/>
    <w:rsid w:val="00AE7870"/>
    <w:rsid w:val="00AF177C"/>
    <w:rsid w:val="00B0474F"/>
    <w:rsid w:val="00B13EAA"/>
    <w:rsid w:val="00B16A8F"/>
    <w:rsid w:val="00B21711"/>
    <w:rsid w:val="00B22BDE"/>
    <w:rsid w:val="00B27CA0"/>
    <w:rsid w:val="00B55ADB"/>
    <w:rsid w:val="00B768DC"/>
    <w:rsid w:val="00B80AC7"/>
    <w:rsid w:val="00B80BED"/>
    <w:rsid w:val="00B867E1"/>
    <w:rsid w:val="00B90D5E"/>
    <w:rsid w:val="00B90E20"/>
    <w:rsid w:val="00BB73ED"/>
    <w:rsid w:val="00BC337D"/>
    <w:rsid w:val="00BD0E25"/>
    <w:rsid w:val="00BE3016"/>
    <w:rsid w:val="00C00828"/>
    <w:rsid w:val="00C01C9F"/>
    <w:rsid w:val="00C04B2D"/>
    <w:rsid w:val="00C242A2"/>
    <w:rsid w:val="00C340E5"/>
    <w:rsid w:val="00C35C11"/>
    <w:rsid w:val="00C4217B"/>
    <w:rsid w:val="00C47AA5"/>
    <w:rsid w:val="00C5304F"/>
    <w:rsid w:val="00C56444"/>
    <w:rsid w:val="00C61D89"/>
    <w:rsid w:val="00C860ED"/>
    <w:rsid w:val="00C879A4"/>
    <w:rsid w:val="00C93494"/>
    <w:rsid w:val="00CA4063"/>
    <w:rsid w:val="00CB26EC"/>
    <w:rsid w:val="00CD473A"/>
    <w:rsid w:val="00CD5983"/>
    <w:rsid w:val="00CE3E3D"/>
    <w:rsid w:val="00CF0415"/>
    <w:rsid w:val="00CF0EAC"/>
    <w:rsid w:val="00CF5B6A"/>
    <w:rsid w:val="00CF6855"/>
    <w:rsid w:val="00D00AC3"/>
    <w:rsid w:val="00D10EEE"/>
    <w:rsid w:val="00D1738C"/>
    <w:rsid w:val="00D23277"/>
    <w:rsid w:val="00D253D5"/>
    <w:rsid w:val="00D337C9"/>
    <w:rsid w:val="00D5382A"/>
    <w:rsid w:val="00D554B7"/>
    <w:rsid w:val="00D562D1"/>
    <w:rsid w:val="00D75963"/>
    <w:rsid w:val="00D76889"/>
    <w:rsid w:val="00D80FAB"/>
    <w:rsid w:val="00D965DD"/>
    <w:rsid w:val="00DA38AC"/>
    <w:rsid w:val="00DF7C3B"/>
    <w:rsid w:val="00E07308"/>
    <w:rsid w:val="00E21894"/>
    <w:rsid w:val="00E26247"/>
    <w:rsid w:val="00E32506"/>
    <w:rsid w:val="00E34594"/>
    <w:rsid w:val="00E35AD1"/>
    <w:rsid w:val="00E56FD5"/>
    <w:rsid w:val="00E60F35"/>
    <w:rsid w:val="00E66246"/>
    <w:rsid w:val="00E66ECE"/>
    <w:rsid w:val="00E7601C"/>
    <w:rsid w:val="00E772A6"/>
    <w:rsid w:val="00E8567A"/>
    <w:rsid w:val="00E90530"/>
    <w:rsid w:val="00EA1AF7"/>
    <w:rsid w:val="00EB54A2"/>
    <w:rsid w:val="00EC439B"/>
    <w:rsid w:val="00ED1B07"/>
    <w:rsid w:val="00EE59E3"/>
    <w:rsid w:val="00F15F18"/>
    <w:rsid w:val="00F177A5"/>
    <w:rsid w:val="00F22A6E"/>
    <w:rsid w:val="00F35600"/>
    <w:rsid w:val="00F54E00"/>
    <w:rsid w:val="00F567E7"/>
    <w:rsid w:val="00F5734A"/>
    <w:rsid w:val="00F61A2E"/>
    <w:rsid w:val="00F641D2"/>
    <w:rsid w:val="00F65E05"/>
    <w:rsid w:val="00F66DD5"/>
    <w:rsid w:val="00F7667D"/>
    <w:rsid w:val="00F81ECE"/>
    <w:rsid w:val="00F84280"/>
    <w:rsid w:val="00F85E16"/>
    <w:rsid w:val="00F9326D"/>
    <w:rsid w:val="00F953E0"/>
    <w:rsid w:val="00FA0D5B"/>
    <w:rsid w:val="00FB2D35"/>
    <w:rsid w:val="00FB51F1"/>
    <w:rsid w:val="00FC1F29"/>
    <w:rsid w:val="00FC639D"/>
    <w:rsid w:val="00FD3B52"/>
    <w:rsid w:val="00FF171A"/>
    <w:rsid w:val="00FF50FA"/>
    <w:rsid w:val="00FF6D5A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3A2E"/>
  <w15:chartTrackingRefBased/>
  <w15:docId w15:val="{1EBB68DC-FC6F-42DB-BC70-A7705318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C0"/>
    <w:pPr>
      <w:spacing w:after="160" w:line="25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0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750D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1F0F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750DC0"/>
    <w:rPr>
      <w:rFonts w:ascii="Arial" w:eastAsia="Times New Roman" w:hAnsi="Arial" w:cs="Arial"/>
      <w:b/>
      <w:bCs/>
      <w:sz w:val="26"/>
      <w:szCs w:val="26"/>
      <w:lang w:val="en-AU" w:eastAsia="hr-HR"/>
    </w:rPr>
  </w:style>
  <w:style w:type="paragraph" w:styleId="Podnoje">
    <w:name w:val="footer"/>
    <w:basedOn w:val="Normal"/>
    <w:link w:val="PodnojeChar"/>
    <w:uiPriority w:val="99"/>
    <w:rsid w:val="005F65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F654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1F0F1C"/>
    <w:pPr>
      <w:widowControl w:val="0"/>
      <w:adjustRightInd w:val="0"/>
      <w:spacing w:after="0" w:line="360" w:lineRule="atLeast"/>
      <w:ind w:left="720" w:hanging="357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1F0F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semiHidden/>
    <w:unhideWhenUsed/>
    <w:rsid w:val="005F396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F3964"/>
    <w:rPr>
      <w:color w:val="800080"/>
      <w:u w:val="single"/>
    </w:rPr>
  </w:style>
  <w:style w:type="paragraph" w:customStyle="1" w:styleId="msonormal0">
    <w:name w:val="msonormal"/>
    <w:basedOn w:val="Normal"/>
    <w:rsid w:val="005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5F396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5F396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5F3964"/>
    <w:pP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5F39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5F3964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5F3964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5F3964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5F3964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5F3964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5F3964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5F3964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5F3964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79">
    <w:name w:val="xl79"/>
    <w:basedOn w:val="Normal"/>
    <w:rsid w:val="005F3964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0">
    <w:name w:val="xl80"/>
    <w:basedOn w:val="Normal"/>
    <w:rsid w:val="005F3964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1">
    <w:name w:val="xl81"/>
    <w:basedOn w:val="Normal"/>
    <w:rsid w:val="005F3964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5F3964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5F3964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5F396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5F3964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5F3964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5F396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5F396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1">
    <w:name w:val="xl91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5F396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5F3964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4">
    <w:name w:val="xl94"/>
    <w:basedOn w:val="Normal"/>
    <w:rsid w:val="0017287D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C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639D"/>
  </w:style>
  <w:style w:type="character" w:styleId="Referencakomentara">
    <w:name w:val="annotation reference"/>
    <w:basedOn w:val="Zadanifontodlomka"/>
    <w:uiPriority w:val="99"/>
    <w:semiHidden/>
    <w:unhideWhenUsed/>
    <w:rsid w:val="00D80F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0FA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0FA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0F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0FAB"/>
    <w:rPr>
      <w:b/>
      <w:bCs/>
      <w:sz w:val="20"/>
      <w:szCs w:val="20"/>
    </w:rPr>
  </w:style>
  <w:style w:type="paragraph" w:customStyle="1" w:styleId="xl95">
    <w:name w:val="xl95"/>
    <w:basedOn w:val="Normal"/>
    <w:rsid w:val="000D21B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0D21BE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0D21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C7F4-DF58-47E0-B605-FAFBCBF5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17</Pages>
  <Words>5157</Words>
  <Characters>29398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2025-07-17T06:52:00Z</cp:lastPrinted>
  <dcterms:created xsi:type="dcterms:W3CDTF">2025-06-16T10:56:00Z</dcterms:created>
  <dcterms:modified xsi:type="dcterms:W3CDTF">2025-07-22T05:39:00Z</dcterms:modified>
</cp:coreProperties>
</file>